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Role</w:t>
      </w:r>
      <w:r>
        <w:t xml:space="preserve"> </w:t>
      </w:r>
      <w:r>
        <w:t xml:space="preserve">Analysis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2e7717139c3f3e785d9ddd1ca235f2154d4e70a"/>
    <w:p>
      <w:pPr>
        <w:pStyle w:val="Heading1"/>
      </w:pPr>
      <w:r>
        <w:t xml:space="preserve">Laboratory Analysis Report: The Role of the Web Designer in United Arab Emirates Abu Dhabi</w:t>
      </w:r>
    </w:p>
    <w:bookmarkStart w:id="20" w:name="executive-summary"/>
    <w:p>
      <w:pPr>
        <w:pStyle w:val="Heading2"/>
      </w:pPr>
      <w:r>
        <w:t xml:space="preserve">1. Executive Summary</w:t>
      </w:r>
    </w:p>
    <w:p>
      <w:pPr>
        <w:pStyle w:val="FirstParagraph"/>
      </w:pPr>
      <w:r>
        <w:t xml:space="preserve">This report serves as a comprehensive analytical "lab test" regarding the professional profile, technical requirements, and cultural competencies required for a</w:t>
      </w:r>
      <w:r>
        <w:t xml:space="preserve"> </w:t>
      </w:r>
      <w:r>
        <w:rPr>
          <w:bCs/>
          <w:b/>
        </w:rPr>
        <w:t xml:space="preserve">Web Designer</w:t>
      </w:r>
      <w:r>
        <w:t xml:space="preserve">. The primary focus of this investigation is situated within the specific economic and digital landscape of</w:t>
      </w:r>
      <w:r>
        <w:t xml:space="preserve"> </w:t>
      </w:r>
      <w:r>
        <w:rPr>
          <w:bCs/>
          <w:b/>
        </w:rPr>
        <w:t xml:space="preserve">United Arab Emirates Abu Dhabi</w:t>
      </w:r>
      <w:r>
        <w:t xml:space="preserve">. As the capital city drives national policy and digital transformation initiatives such as "Abu Dhabi Economic Vision 2030," the demand for high-caliber web design expertise has intensified. This document outlines the necessary skills, ethical considerations, and technical frameworks that define a successful practitioner in this region.</w:t>
      </w:r>
    </w:p>
    <w:bookmarkEnd w:id="20"/>
    <w:bookmarkStart w:id="21" w:name="introduction-and-objectives"/>
    <w:p>
      <w:pPr>
        <w:pStyle w:val="Heading2"/>
      </w:pPr>
      <w:r>
        <w:t xml:space="preserve">2. Introduction and Objectives</w:t>
      </w:r>
    </w:p>
    <w:p>
      <w:pPr>
        <w:pStyle w:val="FirstParagraph"/>
      </w:pPr>
      <w:r>
        <w:t xml:space="preserve">The objective of this lab report is to dissect the role of the</w:t>
      </w:r>
      <w:r>
        <w:t xml:space="preserve"> </w:t>
      </w:r>
      <w:r>
        <w:rPr>
          <w:bCs/>
          <w:b/>
        </w:rPr>
        <w:t xml:space="preserve">Web Designer</w:t>
      </w:r>
      <w:r>
        <w:t xml:space="preserve"> </w:t>
      </w:r>
      <w:r>
        <w:t xml:space="preserve">not merely as an aesthetic creator, but as a critical component of digital infrastructure in</w:t>
      </w:r>
      <w:r>
        <w:t xml:space="preserve"> </w:t>
      </w:r>
      <w:r>
        <w:rPr>
          <w:bCs/>
          <w:b/>
        </w:rPr>
        <w:t xml:space="preserve">United Arab Emirates Abu Dhabi</w:t>
      </w:r>
      <w:r>
        <w:t xml:space="preserve">. The capital is undergoing rapid digitization across government services (TAMM platform), tourism, real estate, and corporate sectors. Consequently, the "laboratory" for this report is the dynamic market environment where design meets utility and cultural compliance.</w:t>
      </w:r>
    </w:p>
    <w:p>
      <w:pPr>
        <w:pStyle w:val="BodyText"/>
      </w:pPr>
      <w:r>
        <w:t xml:space="preserve">We aim to evaluate:</w:t>
      </w:r>
    </w:p>
    <w:p>
      <w:pPr>
        <w:numPr>
          <w:ilvl w:val="0"/>
          <w:numId w:val="1001"/>
        </w:numPr>
        <w:pStyle w:val="Compact"/>
      </w:pPr>
      <w:r>
        <w:t xml:space="preserve">The technical proficiency required for modern web standards in a high-speed digital economy.</w:t>
      </w:r>
    </w:p>
    <w:p>
      <w:pPr>
        <w:numPr>
          <w:ilvl w:val="0"/>
          <w:numId w:val="1001"/>
        </w:numPr>
        <w:pStyle w:val="Compact"/>
      </w:pPr>
      <w:r>
        <w:t xml:space="preserve">The necessity of bilingual capabilities (Arabic/English) and Right-to-Left (RTL) layout mastery.</w:t>
      </w:r>
    </w:p>
    <w:p>
      <w:pPr>
        <w:numPr>
          <w:ilvl w:val="0"/>
          <w:numId w:val="1001"/>
        </w:numPr>
        <w:pStyle w:val="Compact"/>
      </w:pPr>
      <w:r>
        <w:t xml:space="preserve">The alignment with local regulatory frameworks regarding data privacy and content moderation.</w:t>
      </w:r>
    </w:p>
    <w:bookmarkEnd w:id="21"/>
    <w:bookmarkStart w:id="22" w:name="X4b25a7fef1a62b2b41f6e50b7e7385882556d52"/>
    <w:p>
      <w:pPr>
        <w:pStyle w:val="Heading2"/>
      </w:pPr>
      <w:r>
        <w:t xml:space="preserve">3. Methodology: The Design Laboratory Parameters</w:t>
      </w:r>
    </w:p>
    <w:p>
      <w:pPr>
        <w:pStyle w:val="FirstParagraph"/>
      </w:pPr>
      <w:r>
        <w:t xml:space="preserve">In this analytical framework, the "Lab" represents the design process workflow adapted for the local context. The methodology involves simulating real-world projects typical of Abu Dhabi’s market. This includes corporate websites for government entities, luxury real estate portfolios, and e-commerce platforms adhering to UAE consumer protection laws.</w:t>
      </w:r>
    </w:p>
    <w:p>
      <w:pPr>
        <w:pStyle w:val="BodyText"/>
      </w:pPr>
      <w:r>
        <w:t xml:space="preserve">The testing parameters include:</w:t>
      </w:r>
    </w:p>
    <w:p>
      <w:pPr>
        <w:numPr>
          <w:ilvl w:val="0"/>
          <w:numId w:val="1002"/>
        </w:numPr>
        <w:pStyle w:val="Compact"/>
      </w:pPr>
      <w:r>
        <w:rPr>
          <w:bCs/>
          <w:b/>
        </w:rPr>
        <w:t xml:space="preserve">User Experience (UX) Testing:</w:t>
      </w:r>
      <w:r>
        <w:t xml:space="preserve"> </w:t>
      </w:r>
      <w:r>
        <w:t xml:space="preserve">Assessing how intuitive the interface is for a diverse demographic ranging from local Emirati residents to expatriates and international tourists.</w:t>
      </w:r>
    </w:p>
    <w:p>
      <w:pPr>
        <w:numPr>
          <w:ilvl w:val="0"/>
          <w:numId w:val="1002"/>
        </w:numPr>
        <w:pStyle w:val="Compact"/>
      </w:pPr>
      <w:r>
        <w:rPr>
          <w:bCs/>
          <w:b/>
        </w:rPr>
        <w:t xml:space="preserve">Cultural Sensitivity Audit:</w:t>
      </w:r>
      <w:r>
        <w:t xml:space="preserve"> </w:t>
      </w:r>
      <w:r>
        <w:t xml:space="preserve">Ensuring visual content aligns with Islamic cultural norms and local customs prevalent in</w:t>
      </w:r>
      <w:r>
        <w:t xml:space="preserve"> </w:t>
      </w:r>
      <w:r>
        <w:rPr>
          <w:bCs/>
          <w:b/>
        </w:rPr>
        <w:t xml:space="preserve">United Arab Emirates Abu Dhabi</w:t>
      </w:r>
      <w:r>
        <w:t xml:space="preserve">.</w:t>
      </w:r>
    </w:p>
    <w:p>
      <w:pPr>
        <w:numPr>
          <w:ilvl w:val="0"/>
          <w:numId w:val="1002"/>
        </w:numPr>
        <w:pStyle w:val="Compact"/>
      </w:pPr>
      <w:r>
        <w:rPr>
          <w:bCs/>
          <w:b/>
        </w:rPr>
        <w:t xml:space="preserve">Performance Metrics:</w:t>
      </w:r>
      <w:r>
        <w:t xml:space="preserve"> </w:t>
      </w:r>
      <w:r>
        <w:t xml:space="preserve">Evaluating load speeds on varying network conditions, ensuring accessibility across devices common in the region.</w:t>
      </w:r>
    </w:p>
    <w:bookmarkEnd w:id="22"/>
    <w:bookmarkStart w:id="26" w:name="Xd2c919e93168571aef4ff8d8e376bd8d1f49e71"/>
    <w:p>
      <w:pPr>
        <w:pStyle w:val="Heading2"/>
      </w:pPr>
      <w:r>
        <w:t xml:space="preserve">4. Technical Requirements and Skill Acquisition</w:t>
      </w:r>
    </w:p>
    <w:p>
      <w:pPr>
        <w:pStyle w:val="FirstParagraph"/>
      </w:pPr>
      <w:r>
        <w:t xml:space="preserve">A competent</w:t>
      </w:r>
      <w:r>
        <w:t xml:space="preserve"> </w:t>
      </w:r>
      <w:r>
        <w:rPr>
          <w:bCs/>
          <w:b/>
        </w:rPr>
        <w:t xml:space="preserve">Web Designer</w:t>
      </w:r>
      <w:r>
        <w:t xml:space="preserve"> </w:t>
      </w:r>
      <w:r>
        <w:t xml:space="preserve">operating in this region must possess a robust technical toolkit. The following skills were identified as critical through our analysis:</w:t>
      </w:r>
    </w:p>
    <w:bookmarkStart w:id="23" w:name="Xc0d79e4f657b95c05f121cb87986578ae4ee4ed"/>
    <w:p>
      <w:pPr>
        <w:pStyle w:val="Heading3"/>
      </w:pPr>
      <w:r>
        <w:t xml:space="preserve">4.1 Responsive Design and Mobile-First Approach</w:t>
      </w:r>
    </w:p>
    <w:p>
      <w:pPr>
        <w:pStyle w:val="FirstParagraph"/>
      </w:pPr>
      <w:r>
        <w:rPr>
          <w:bCs/>
          <w:b/>
        </w:rPr>
        <w:t xml:space="preserve">United Arab Emirates Abu Dhabi</w:t>
      </w:r>
      <w:r>
        <w:t xml:space="preserve">Web Designer must prioritize mobile-first design principles. This ensures that content is accessible and navigable on smaller screens without compromising aesthetic integrity or functionality.</w:t>
      </w:r>
    </w:p>
    <w:bookmarkEnd w:id="23"/>
    <w:bookmarkStart w:id="24" w:name="bilingual-interface-design-rtlltr"/>
    <w:p>
      <w:pPr>
        <w:pStyle w:val="Heading3"/>
      </w:pPr>
      <w:r>
        <w:t xml:space="preserve">4.2 Bilingual Interface Design (RTL/LTR)</w:t>
      </w:r>
    </w:p>
    <w:p>
      <w:pPr>
        <w:pStyle w:val="FirstParagraph"/>
      </w:pPr>
      <w:r>
        <w:t xml:space="preserve">A unique challenge for the</w:t>
      </w:r>
      <w:r>
        <w:t xml:space="preserve"> </w:t>
      </w:r>
      <w:r>
        <w:rPr>
          <w:bCs/>
          <w:b/>
        </w:rPr>
        <w:t xml:space="preserve">Web Designer</w:t>
      </w:r>
      <w:r>
        <w:t xml:space="preserve"> </w:t>
      </w:r>
      <w:r>
        <w:t xml:space="preserve">in this region is the requirement to support both Arabic and English. This involves mastering Right-to-Left (RTL) text directionality. The layout must mirror logically when switching languages; for instance, navigation bars on the right side of an English site must shift to the left side for its Arabic counterpart. Failure to execute this properly results in a poor user experience and is viewed as unprofessional in the</w:t>
      </w:r>
      <w:r>
        <w:t xml:space="preserve"> </w:t>
      </w:r>
      <w:r>
        <w:rPr>
          <w:bCs/>
          <w:b/>
        </w:rPr>
        <w:t xml:space="preserve">United Arab Emirates Abu Dhabi</w:t>
      </w:r>
      <w:r>
        <w:t xml:space="preserve"> </w:t>
      </w:r>
      <w:r>
        <w:t xml:space="preserve">market.</w:t>
      </w:r>
    </w:p>
    <w:bookmarkEnd w:id="24"/>
    <w:bookmarkStart w:id="25" w:name="accessibility-and-inclusivity"/>
    <w:p>
      <w:pPr>
        <w:pStyle w:val="Heading3"/>
      </w:pPr>
      <w:r>
        <w:t xml:space="preserve">4.3 Accessibility and Inclusivity</w:t>
      </w:r>
    </w:p>
    <w:p>
      <w:pPr>
        <w:pStyle w:val="FirstParagraph"/>
      </w:pPr>
      <w:r>
        <w:t xml:space="preserve">In accordance with global standards and local government mandates for digital inclusion, the design must adhere to WCAG (Web Content Accessibility Guidelines). This is particularly important for serving citizens with disabilities, a key focus of the UAE’s inclusive society initiatives.</w:t>
      </w:r>
    </w:p>
    <w:p>
      <w:pPr>
        <w:pStyle w:val="BodyText"/>
      </w:pPr>
      <w:r>
        <w:t xml:space="preserve">Skill Category</w:t>
      </w:r>
    </w:p>
    <w:bookmarkEnd w:id="25"/>
    <w:bookmarkEnd w:id="26"/>
    <w:p>
      <w:pPr>
        <w:pStyle w:val="BodyText"/>
      </w:pPr>
      <w:r>
        <w:t xml:space="preserve">Description</w:t>
      </w:r>
    </w:p>
    <w:p>
      <w:pPr>
        <w:pStyle w:val="BodyText"/>
      </w:pPr>
      <w:r>
        <w:t xml:space="preserve">Relevance to Abu Dhabi Market</w:t>
      </w:r>
    </w:p>
    <w:p>
      <w:pPr>
        <w:pStyle w:val="BodyText"/>
      </w:pPr>
      <w:r>
        <w:t xml:space="preserve">CMS Proficiency</w:t>
      </w:r>
    </w:p>
    <w:p>
      <w:pPr>
        <w:pStyle w:val="BodyText"/>
      </w:pPr>
      <w:r>
        <w:t xml:space="preserve">Mastery of WordPress, Drupal, or headless CMS.</w:t>
      </w:r>
    </w:p>
    <w:p>
      <w:pPr>
        <w:pStyle w:val="BodyText"/>
      </w:pPr>
      <w:r>
        <w:t xml:space="preserve">High: Government entities often use custom enterprise solutions.</w:t>
      </w:r>
    </w:p>
    <w:p>
      <w:pPr>
        <w:pStyle w:val="BodyText"/>
      </w:pPr>
      <w:r>
        <w:t xml:space="preserve">E-commerce Integration</w:t>
      </w:r>
    </w:p>
    <w:p>
      <w:pPr>
        <w:pStyle w:val="BodyText"/>
      </w:pPr>
      <w:r>
        <w:t xml:space="preserve">Pix Payment Gateways (Tabby, Tamara).</w:t>
      </w:r>
    </w:p>
    <w:p>
      <w:pPr>
        <w:pStyle w:val="BodyText"/>
      </w:pPr>
      <w:r>
        <w:t xml:space="preserve">Cultural Design</w:t>
      </w:r>
    </w:p>
    <w:p>
      <w:pPr>
        <w:pStyle w:val="BodyText"/>
      </w:pPr>
      <w:r>
        <w:t xml:space="preserve">Cultural Nuance Awareness</w:t>
      </w:r>
    </w:p>
    <w:p>
      <w:pPr>
        <w:pStyle w:val="BodyText"/>
      </w:pPr>
      <w:r>
        <w:t xml:space="preserve">Avoiding inappropriate imagery; using local color palettes.</w:t>
      </w:r>
    </w:p>
    <w:p>
      <w:pPr>
        <w:pStyle w:val="BodyText"/>
      </w:pPr>
      <w:r>
        <w:t xml:space="preserve">Critical for brand acceptance in UAE.</w:t>
      </w:r>
    </w:p>
    <w:bookmarkStart w:id="27" w:name="cultural-section"/>
    <w:p>
      <w:pPr>
        <w:pStyle w:val="Heading3"/>
      </w:pPr>
      <w:r>
        <w:t xml:space="preserve">4.4 Cultural and Ethical Compliance</w:t>
      </w:r>
    </w:p>
    <w:p>
      <w:pPr>
        <w:pStyle w:val="FirstParagraph"/>
      </w:pPr>
      <w:r>
        <w:t xml:space="preserve">The environment of</w:t>
      </w:r>
      <w:r>
        <w:t xml:space="preserve"> </w:t>
      </w:r>
      <w:r>
        <w:rPr>
          <w:bCs/>
          <w:b/>
        </w:rPr>
        <w:t xml:space="preserve">United Arab Emirates Abu Dhabi</w:t>
      </w:r>
      <w:r>
        <w:t xml:space="preserve"> </w:t>
      </w:r>
      <w:r>
        <w:t xml:space="preserve">imposes specific ethical guidelines on digital content. The</w:t>
      </w:r>
      <w:r>
        <w:t xml:space="preserve"> </w:t>
      </w:r>
      <w:r>
        <w:rPr>
          <w:bCs/>
          <w:b/>
        </w:rPr>
        <w:t xml:space="preserve">Web Designer</w:t>
      </w:r>
      <w:r>
        <w:t xml:space="preserve"> </w:t>
      </w:r>
      <w:r>
        <w:t xml:space="preserve">must ensure that visual assets, typography, and imagery respect Islamic values and local traditions. This includes:</w:t>
      </w:r>
    </w:p>
    <w:p>
      <w:pPr>
        <w:numPr>
          <w:ilvl w:val="0"/>
          <w:numId w:val="1003"/>
        </w:numPr>
        <w:pStyle w:val="Compact"/>
      </w:pPr>
      <w:r>
        <w:rPr>
          <w:bCs/>
          <w:b/>
        </w:rPr>
        <w:t xml:space="preserve">Date Alignment:</w:t>
      </w:r>
      <w:r>
        <w:t xml:space="preserve"> </w:t>
      </w:r>
      <w:r>
        <w:t xml:space="preserve">Ensuring calendars on websites display both Gregorian and Hijri dates accurately.</w:t>
      </w:r>
    </w:p>
    <w:p>
      <w:pPr>
        <w:numPr>
          <w:ilvl w:val="0"/>
          <w:numId w:val="1003"/>
        </w:numPr>
        <w:pStyle w:val="Compact"/>
      </w:pPr>
      <w:r>
        <w:rPr>
          <w:bCs/>
          <w:b/>
        </w:rPr>
        <w:t xml:space="preserve">Festival Awareness:</w:t>
      </w:r>
      <w:r>
        <w:t xml:space="preserve"> </w:t>
      </w:r>
      <w:r>
        <w:t xml:space="preserve">Adjusting design elements during Ramadan, National Day (December 2nd), and Eid celebrations to show cultural respect.</w:t>
      </w:r>
    </w:p>
    <w:p>
      <w:pPr>
        <w:numPr>
          <w:ilvl w:val="0"/>
          <w:numId w:val="1003"/>
        </w:numPr>
        <w:pStyle w:val="Compact"/>
      </w:pPr>
      <w:r>
        <w:rPr>
          <w:bCs/>
          <w:b/>
        </w:rPr>
        <w:t xml:space="preserve">Data Sovereignty:</w:t>
      </w:r>
      <w:r>
        <w:t xml:space="preserve"> </w:t>
      </w:r>
      <w:r>
        <w:t xml:space="preserve">Understanding that user data for residents in the UAE may fall under strict local cybersecurity laws. The designer must collaborate with developers to ensure server locations and data handling practices comply with Federal Decree-Law No. 45 of 2021 on Personal Data Protection.</w:t>
      </w:r>
    </w:p>
    <w:bookmarkEnd w:id="27"/>
    <w:bookmarkStart w:id="28" w:name="analysis-of-results-the-ideal-profile"/>
    <w:p>
      <w:pPr>
        <w:pStyle w:val="Heading2"/>
      </w:pPr>
      <w:r>
        <w:t xml:space="preserve">5. Analysis of Results: The Ideal Profile</w:t>
      </w:r>
    </w:p>
    <w:p>
      <w:pPr>
        <w:pStyle w:val="FirstParagraph"/>
      </w:pPr>
      <w:r>
        <w:t xml:space="preserve">The synthesis of the laboratory findings indicates that a generic global approach to web design is insufficient for</w:t>
      </w:r>
      <w:r>
        <w:t xml:space="preserve"> </w:t>
      </w:r>
      <w:r>
        <w:rPr>
          <w:bCs/>
          <w:b/>
        </w:rPr>
        <w:t xml:space="preserve">United Arab Emirates Abu Dhabi</w:t>
      </w:r>
      <w:r>
        <w:t xml:space="preserve">. The ideal candidate—a true professional</w:t>
      </w:r>
      <w:r>
        <w:t xml:space="preserve"> </w:t>
      </w:r>
      <w:r>
        <w:rPr>
          <w:bCs/>
          <w:b/>
        </w:rPr>
        <w:t xml:space="preserve">Web Designer</w:t>
      </w:r>
      <w:r>
        <w:t xml:space="preserve"> </w:t>
      </w:r>
      <w:r>
        <w:t xml:space="preserve">in this context—exhibits the following traits:</w:t>
      </w:r>
    </w:p>
    <w:p>
      <w:pPr>
        <w:pStyle w:val="BodyText"/>
      </w:pPr>
      <w:r>
        <w:rPr>
          <w:bCs/>
          <w:b/>
        </w:rPr>
        <w:t xml:space="preserve">A. Strategic Cultural Intelligence:</w:t>
      </w:r>
    </w:p>
    <w:p>
      <w:pPr>
        <w:pStyle w:val="BodyText"/>
      </w:pPr>
      <w:r>
        <w:t xml:space="preserve">The designer understands that color psychology varies by culture. For instance, while white may represent purity globally, in certain Middle Eastern contexts, it carries specific connotations during mourning or celebration depending on the shade and combination with gold or black. The ability to navigate these nuances is a key differentiator.</w:t>
      </w:r>
    </w:p>
    <w:p>
      <w:pPr>
        <w:pStyle w:val="BodyText"/>
      </w:pPr>
      <w:r>
        <w:rPr>
          <w:bCs/>
          <w:b/>
        </w:rPr>
        <w:t xml:space="preserve">B. Technical Agility:</w:t>
      </w:r>
    </w:p>
    <w:p>
      <w:pPr>
        <w:pStyle w:val="BodyText"/>
      </w:pPr>
      <w:r>
        <w:t xml:space="preserve">The market moves fast. A designer must be able to iterate quickly, utilizing modern tools like Figma or Adobe XD for prototyping, while understanding the underlying HTML/CSS constraints of RTL layouts.</w:t>
      </w:r>
    </w:p>
    <w:p>
      <w:pPr>
        <w:pStyle w:val="BodyText"/>
      </w:pPr>
      <w:r>
        <w:rPr>
          <w:bCs/>
          <w:b/>
        </w:rPr>
        <w:t xml:space="preserve">C. Regulatory Literacy:</w:t>
      </w:r>
    </w:p>
    <w:p>
      <w:pPr>
        <w:pStyle w:val="BodyText"/>
      </w:pPr>
      <w:r>
        <w:t xml:space="preserve">A successful practitioner stays updated on changes in UAE cyber laws. They understand that certain types of content are strictly prohibited, and their design must not inadvertently facilitate access to such content.</w:t>
      </w:r>
    </w:p>
    <w:bookmarkEnd w:id="28"/>
    <w:bookmarkStart w:id="29" w:name="challenges-and-mitigation-strategies"/>
    <w:p>
      <w:pPr>
        <w:pStyle w:val="Heading2"/>
      </w:pPr>
      <w:r>
        <w:t xml:space="preserve">6. Challenges and Mitigation Strategies</w:t>
      </w:r>
    </w:p>
    <w:p>
      <w:pPr>
        <w:pStyle w:val="FirstParagraph"/>
      </w:pPr>
      <w:r>
        <w:rPr>
          <w:bCs/>
          <w:b/>
        </w:rPr>
        <w:t xml:space="preserve">Challenge 1: Balancing Modernity with Tradition.</w:t>
      </w:r>
    </w:p>
    <w:p>
      <w:pPr>
        <w:pStyle w:val="BodyText"/>
      </w:pPr>
      <w:r>
        <w:rPr>
          <w:iCs/>
          <w:i/>
        </w:rPr>
        <w:t xml:space="preserve">Mitigation:</w:t>
      </w:r>
      <w:r>
        <w:br/>
      </w:r>
      <w:r>
        <w:t xml:space="preserve">The designer should adopt a "Global-Local" aesthetic—clean, modern UI/UX frameworks infused with local artistic motifs or calligraphy styles that resonate with the heritage of</w:t>
      </w:r>
      <w:r>
        <w:t xml:space="preserve"> </w:t>
      </w:r>
      <w:r>
        <w:rPr>
          <w:bCs/>
          <w:b/>
        </w:rPr>
        <w:t xml:space="preserve">United Arab Emirates Abu Dhabi</w:t>
      </w:r>
      <w:r>
        <w:t xml:space="preserve">.</w:t>
      </w:r>
    </w:p>
    <w:p>
      <w:pPr>
        <w:pStyle w:val="BodyText"/>
      </w:pPr>
      <w:r>
        <w:rPr>
          <w:bCs/>
          <w:b/>
        </w:rPr>
        <w:t xml:space="preserve">Challenge 2: Multilingual SEO.</w:t>
      </w:r>
    </w:p>
    <w:p>
      <w:pPr>
        <w:pStyle w:val="BodyText"/>
      </w:pPr>
      <w:r>
        <w:rPr>
          <w:iCs/>
          <w:i/>
        </w:rPr>
        <w:t xml:space="preserve">Mitigation:</w:t>
      </w:r>
      <w:r>
        <w:br/>
      </w:r>
      <w:r>
        <w:t xml:space="preserve">The designer must work closely with SEO specialists to ensure that Arabic keywords are correctly structured in the HTML hierarchy, utilizing hreflang tags effectively to serve the right content to the right user segment.</w:t>
      </w:r>
    </w:p>
    <w:bookmarkEnd w:id="29"/>
    <w:bookmarkStart w:id="30" w:name="conclusion"/>
    <w:p>
      <w:pPr>
        <w:pStyle w:val="Heading2"/>
      </w:pPr>
      <w:r>
        <w:t xml:space="preserve">7. Conclusion</w:t>
      </w:r>
    </w:p>
    <w:p>
      <w:pPr>
        <w:pStyle w:val="FirstParagraph"/>
      </w:pPr>
      <w:r>
        <w:t xml:space="preserve">In conclusion, this lab report demonstrates that being a</w:t>
      </w:r>
      <w:r>
        <w:t xml:space="preserve"> </w:t>
      </w:r>
      <w:r>
        <w:rPr>
          <w:bCs/>
          <w:b/>
        </w:rPr>
        <w:t xml:space="preserve">Web Designer</w:t>
      </w:r>
      <w:r>
        <w:t xml:space="preserve"> </w:t>
      </w:r>
      <w:r>
        <w:t xml:space="preserve">in</w:t>
      </w:r>
      <w:r>
        <w:t xml:space="preserve"> </w:t>
      </w:r>
      <w:r>
        <w:rPr>
          <w:bCs/>
          <w:b/>
        </w:rPr>
        <w:t xml:space="preserve">United Arab Emirates Abu Dhabi</w:t>
      </w:r>
      <w:r>
        <w:t xml:space="preserve"> </w:t>
      </w:r>
      <w:r>
        <w:t xml:space="preserve">is a multifaceted role that extends far beyond graphic design. It requires a blend of technical expertise, cultural sensitivity, and legal awareness. The capital’s vision for the future relies heavily on its digital presence; therefore, the quality of web design directly impacts economic growth and citizen satisfaction.</w:t>
      </w:r>
    </w:p>
    <w:p>
      <w:pPr>
        <w:pStyle w:val="BodyText"/>
      </w:pPr>
      <w:r>
        <w:t xml:space="preserve">The findings suggest that organizations operating in this region must invest in designers who not only possess strong visual skills but also understand the unique sociological and regulatory fabric of the UAE. By adhering to these standards, a</w:t>
      </w:r>
      <w:r>
        <w:t xml:space="preserve"> </w:t>
      </w:r>
      <w:r>
        <w:rPr>
          <w:bCs/>
          <w:b/>
        </w:rPr>
        <w:t xml:space="preserve">Web Designer</w:t>
      </w:r>
      <w:r>
        <w:t xml:space="preserve"> </w:t>
      </w:r>
      <w:r>
        <w:t xml:space="preserve">contributes significantly to the digital sovereignty and cultural integrity of</w:t>
      </w:r>
      <w:r>
        <w:t xml:space="preserve"> </w:t>
      </w:r>
      <w:r>
        <w:rPr>
          <w:bCs/>
          <w:b/>
        </w:rPr>
        <w:t xml:space="preserve">United Arab Emirates Abu Dhabi</w:t>
      </w:r>
      <w:r>
        <w:t xml:space="preserve">.</w:t>
      </w:r>
    </w:p>
    <w:p>
      <w:pPr>
        <w:pStyle w:val="BodyText"/>
      </w:pPr>
      <w:r>
        <w:t xml:space="preserve">This report confirms that success in this field is contingent upon adapting global design principles to fit the specific, vibrant, and regulated environment of the capital. Future iterations of this lab should focus on emerging technologies such as AI-driven personalization within these cultural boundaries.</w:t>
      </w:r>
    </w:p>
    <w:bookmarkEnd w:id="30"/>
    <w:bookmarkStart w:id="31" w:name="references"/>
    <w:p>
      <w:pPr>
        <w:pStyle w:val="Heading2"/>
      </w:pPr>
      <w:r>
        <w:t xml:space="preserve">8. References</w:t>
      </w:r>
    </w:p>
    <w:p>
      <w:pPr>
        <w:numPr>
          <w:ilvl w:val="0"/>
          <w:numId w:val="1004"/>
        </w:numPr>
        <w:pStyle w:val="Compact"/>
      </w:pPr>
      <w:r>
        <w:t xml:space="preserve">Abu Dhabi Economic Vision 2030 Strategy Documents.</w:t>
      </w:r>
    </w:p>
    <w:p>
      <w:pPr>
        <w:numPr>
          <w:ilvl w:val="0"/>
          <w:numId w:val="1004"/>
        </w:numPr>
        <w:pStyle w:val="Compact"/>
      </w:pPr>
      <w:r>
        <w:t xml:space="preserve">Federal Decree-Law No. 45 of 2021 regarding the Regulation of Personal Data Protection.</w:t>
      </w:r>
    </w:p>
    <w:p>
      <w:pPr>
        <w:numPr>
          <w:ilvl w:val="0"/>
          <w:numId w:val="1004"/>
        </w:numPr>
        <w:pStyle w:val="Compact"/>
      </w:pPr>
      <w:r>
        <w:t xml:space="preserve">TAMM Platform Design Guidelines (Government of Abu Dhabi).</w:t>
      </w:r>
    </w:p>
    <w:p>
      <w:pPr>
        <w:numPr>
          <w:ilvl w:val="0"/>
          <w:numId w:val="1004"/>
        </w:numPr>
        <w:pStyle w:val="Compact"/>
      </w:pPr>
      <w:r>
        <w:t xml:space="preserve">Web Content Accessibility Guidelines (WCAG) 2.1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Role Analysis in United Arab Emirates Abu Dhabi</dc:title>
  <dc:creator/>
  <dc:language>en</dc:language>
  <cp:keywords/>
  <dcterms:created xsi:type="dcterms:W3CDTF">2026-07-29T05:55:33Z</dcterms:created>
  <dcterms:modified xsi:type="dcterms:W3CDTF">2026-07-29T05:55:33Z</dcterms:modified>
</cp:coreProperties>
</file>

<file path=docProps/custom.xml><?xml version="1.0" encoding="utf-8"?>
<Properties xmlns="http://schemas.openxmlformats.org/officeDocument/2006/custom-properties" xmlns:vt="http://schemas.openxmlformats.org/officeDocument/2006/docPropsVTypes"/>
</file>