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41" w:name="X0b124069adddbce02b9de71fb871a7cd3fd26cb"/>
    <w:p>
      <w:pPr>
        <w:pStyle w:val="Heading1"/>
      </w:pPr>
      <w:r>
        <w:t xml:space="preserve">Literature Review on the Role of Academic Researchers in Uzbekistan Tashkent</w:t>
      </w:r>
    </w:p>
    <w:p>
      <w:pPr>
        <w:pStyle w:val="FirstParagraph"/>
      </w:pPr>
      <w:r>
        <w:t xml:space="preserve">This Literature Review critically examines the evolving role of academic researchers within the context of higher education and research institutions in</w:t>
      </w:r>
      <w:r>
        <w:t xml:space="preserve"> </w:t>
      </w:r>
      <w:r>
        <w:rPr>
          <w:bCs/>
          <w:b/>
        </w:rPr>
        <w:t xml:space="preserve">Uzbekistan Tashkent</w:t>
      </w:r>
      <w:r>
        <w:t xml:space="preserve">. The study explores how academic researchers contribute to national development, interdisciplinary innovation, and global knowledge exchange. By synthesizing existing literature on academic research practices in Tashkent, this review highlights challenges, opportunities, and emerging trends that define the work of scholars in this region.</w:t>
      </w:r>
    </w:p>
    <w:bookmarkStart w:id="20" w:name="X8afef3dbbfe8e5e170338974968d7267b640ef2"/>
    <w:p>
      <w:pPr>
        <w:pStyle w:val="Heading2"/>
      </w:pPr>
      <w:r>
        <w:t xml:space="preserve">Historical Context of Academic Research in Uzbekistan Tashkent</w:t>
      </w:r>
    </w:p>
    <w:p>
      <w:pPr>
        <w:pStyle w:val="FirstParagraph"/>
      </w:pPr>
      <w:r>
        <w:t xml:space="preserve">The roots of academic research in Uzbekistan trace back to the Soviet era, when institutions like the Tashkent State University (now the National University of Uzbekistan) became centers for scientific inquiry. Post-independence, however, Uzbekistan's academic landscape faced significant transformation. Literature on this period emphasizes how researchers in Tashkent navigated political shifts, funding constraints, and a shift from Soviet-era research priorities to modern scientific goals</w:t>
      </w:r>
      <w:r>
        <w:t xml:space="preserve"> </w:t>
      </w:r>
      <w:hyperlink w:anchor="X56a192b7913b04c54574d18c28d46e6395428ab">
        <w:r>
          <w:rPr>
            <w:rStyle w:val="Hyperlink"/>
            <w:vertAlign w:val="superscript"/>
          </w:rPr>
          <w:t xml:space="preserve">1</w:t>
        </w:r>
      </w:hyperlink>
      <w:r>
        <w:t xml:space="preserve">.</w:t>
      </w:r>
    </w:p>
    <w:p>
      <w:pPr>
        <w:pStyle w:val="BodyText"/>
      </w:pPr>
      <w:r>
        <w:t xml:space="preserve">Studies by authors such as Karimov (2003) and Mirzoyev (2007) highlight the importance of academic researchers in rebuilding Uzbekistan’s educational infrastructure. These scholars note that Tashkent-based institutions played a pivotal role in adapting curricula to align with global standards while maintaining cultural relevance</w:t>
      </w:r>
      <w:r>
        <w:t xml:space="preserve"> </w:t>
      </w:r>
      <w:hyperlink w:anchor="Xa4b9237bacccdf19c0760cab7aec4a8359010b0">
        <w:r>
          <w:rPr>
            <w:rStyle w:val="Hyperlink"/>
            <w:vertAlign w:val="superscript"/>
          </w:rPr>
          <w:t xml:space="preserve">2</w:t>
        </w:r>
      </w:hyperlink>
      <w:r>
        <w:t xml:space="preserve">.</w:t>
      </w:r>
    </w:p>
    <w:bookmarkEnd w:id="20"/>
    <w:bookmarkStart w:id="21" w:name="Xd0e188a41f6d32618f20cb9c78e97277d0b271d"/>
    <w:p>
      <w:pPr>
        <w:pStyle w:val="Heading2"/>
      </w:pPr>
      <w:r>
        <w:t xml:space="preserve">The Role of Academic Researchers in Uzbekistan Tashkent</w:t>
      </w:r>
    </w:p>
    <w:p>
      <w:pPr>
        <w:pStyle w:val="FirstParagraph"/>
      </w:pPr>
      <w:r>
        <w:t xml:space="preserve">Academic researchers in Tashkent are central to advancing knowledge in fields ranging from natural sciences to social sciences and humanities. Their work is often influenced by the region's unique socio-economic context. For example, a 2015 study by Gulomova et al. found that researchers at Tashkent State Pedagogical University focused on improving educational methodologies tailored to Uzbekistan’s linguistic diversity</w:t>
      </w:r>
      <w:r>
        <w:t xml:space="preserve"> </w:t>
      </w:r>
      <w:hyperlink w:anchor="X7de68daecd823babbb58edb1c8e14d7106e83bb">
        <w:r>
          <w:rPr>
            <w:rStyle w:val="Hyperlink"/>
            <w:vertAlign w:val="superscript"/>
          </w:rPr>
          <w:t xml:space="preserve">3</w:t>
        </w:r>
      </w:hyperlink>
      <w:r>
        <w:t xml:space="preserve">.</w:t>
      </w:r>
    </w:p>
    <w:p>
      <w:pPr>
        <w:pStyle w:val="BodyText"/>
      </w:pPr>
      <w:r>
        <w:t xml:space="preserve">Literature also underscores the dual role of academic researchers in Tashkent as both educators and innovators. Researchers at institutions like the Tashkent Institute of Irrigation and Melioration have contributed to solving regional challenges such as water scarcity, demonstrating how local research can address global issues</w:t>
      </w:r>
      <w:r>
        <w:t xml:space="preserve"> </w:t>
      </w:r>
      <w:hyperlink w:anchor="Xb6453892473a467d07372d45eb05abc2031647a">
        <w:r>
          <w:rPr>
            <w:rStyle w:val="Hyperlink"/>
            <w:vertAlign w:val="superscript"/>
          </w:rPr>
          <w:t xml:space="preserve">4</w:t>
        </w:r>
      </w:hyperlink>
      <w:r>
        <w:t xml:space="preserve">.</w:t>
      </w:r>
    </w:p>
    <w:bookmarkEnd w:id="21"/>
    <w:bookmarkStart w:id="22" w:name="Xf8b1fb8ada2c03ab43748c7d917ed523946910c"/>
    <w:p>
      <w:pPr>
        <w:pStyle w:val="Heading2"/>
      </w:pPr>
      <w:r>
        <w:t xml:space="preserve">Challenges Faced by Academic Researchers in Uzbekistan Tashkent</w:t>
      </w:r>
    </w:p>
    <w:p>
      <w:pPr>
        <w:pStyle w:val="FirstParagraph"/>
      </w:pPr>
      <w:r>
        <w:t xml:space="preserve">Despite their contributions, academic researchers in Tashkent face systemic challenges. A 2018 report by the Ministry of Higher and Secondary Special Education noted inadequate funding, limited access to international journals, and bureaucratic hurdles as major barriers to research productivity</w:t>
      </w:r>
      <w:r>
        <w:t xml:space="preserve"> </w:t>
      </w:r>
      <w:hyperlink w:anchor="Xc3478d69a3c81fa62e60f5c3696165a4e5e6ac4">
        <w:r>
          <w:rPr>
            <w:rStyle w:val="Hyperlink"/>
            <w:vertAlign w:val="superscript"/>
          </w:rPr>
          <w:t xml:space="preserve">5</w:t>
        </w:r>
      </w:hyperlink>
      <w:r>
        <w:t xml:space="preserve">. These issues are compounded by a lack of incentives for interdisciplinary collaboration.</w:t>
      </w:r>
    </w:p>
    <w:p>
      <w:pPr>
        <w:pStyle w:val="BodyText"/>
      </w:pPr>
      <w:r>
        <w:t xml:space="preserve">Studies on academic freedom in Uzbekistan (e.g., Human Rights Watch, 2020) further reveal that researchers in Tashkent may face political pressures when investigating sensitive topics such as governance or human rights. This has led to self-censorship and a reluctance to publish work critical of state policies</w:t>
      </w:r>
      <w:r>
        <w:t xml:space="preserve"> </w:t>
      </w:r>
      <w:hyperlink w:anchor="X1dfd96eea8cc2b62785275bca38ac261256e278">
        <w:r>
          <w:rPr>
            <w:rStyle w:val="Hyperlink"/>
            <w:vertAlign w:val="superscript"/>
          </w:rPr>
          <w:t xml:space="preserve">6</w:t>
        </w:r>
      </w:hyperlink>
      <w:r>
        <w:t xml:space="preserve">.</w:t>
      </w:r>
    </w:p>
    <w:bookmarkEnd w:id="22"/>
    <w:bookmarkStart w:id="23" w:name="Xe493b475c61fa392f5c4dfd9222ffa7adaa7256"/>
    <w:p>
      <w:pPr>
        <w:pStyle w:val="Heading2"/>
      </w:pPr>
      <w:r>
        <w:t xml:space="preserve">Opportunities for Academic Researchers in Uzbekistan Tashkent</w:t>
      </w:r>
    </w:p>
    <w:p>
      <w:pPr>
        <w:pStyle w:val="FirstParagraph"/>
      </w:pPr>
      <w:r>
        <w:t xml:space="preserve">Despite these challenges, the academic community in Tashkent has witnessed significant growth. The government’s "Strategy 2030" initiative emphasizes the need for technological innovation and global competitiveness, creating new opportunities for researchers</w:t>
      </w:r>
      <w:r>
        <w:t xml:space="preserve"> </w:t>
      </w:r>
      <w:hyperlink w:anchor="X02ba3cda1883801594b6e1b452790cc53948fda">
        <w:r>
          <w:rPr>
            <w:rStyle w:val="Hyperlink"/>
            <w:vertAlign w:val="superscript"/>
          </w:rPr>
          <w:t xml:space="preserve">7</w:t>
        </w:r>
      </w:hyperlink>
      <w:r>
        <w:t xml:space="preserve">. Partnerships with international institutions, such as collaborations between Tashkent State University and European universities, have expanded research networks and funding prospects</w:t>
      </w:r>
      <w:r>
        <w:t xml:space="preserve"> </w:t>
      </w:r>
      <w:hyperlink w:anchor="Xe5dbbcea5ce7e2988b8c69bcfdfde8904aabc1f">
        <w:r>
          <w:rPr>
            <w:rStyle w:val="Hyperlink"/>
            <w:vertAlign w:val="superscript"/>
          </w:rPr>
          <w:t xml:space="preserve">8</w:t>
        </w:r>
      </w:hyperlink>
      <w:r>
        <w:t xml:space="preserve">.</w:t>
      </w:r>
    </w:p>
    <w:p>
      <w:pPr>
        <w:pStyle w:val="BodyText"/>
      </w:pPr>
      <w:r>
        <w:t xml:space="preserve">Additionally, the rise of digital platforms has enabled researchers in Tashkent to engage in open-access publishing and virtual conferences. A 2021 study by Rahmonov et al. highlights how these tools have helped scholars overcome geographical and financial constraints</w:t>
      </w:r>
      <w:r>
        <w:t xml:space="preserve"> </w:t>
      </w:r>
      <w:hyperlink w:anchor="Xade7c2cf97f75d009975f4d720d1fa6c19f4897">
        <w:r>
          <w:rPr>
            <w:rStyle w:val="Hyperlink"/>
            <w:vertAlign w:val="superscript"/>
          </w:rPr>
          <w:t xml:space="preserve">9</w:t>
        </w:r>
      </w:hyperlink>
      <w:r>
        <w:t xml:space="preserve">.</w:t>
      </w:r>
    </w:p>
    <w:bookmarkEnd w:id="23"/>
    <w:bookmarkStart w:id="24" w:name="comparative-analysis-with-global-trends"/>
    <w:p>
      <w:pPr>
        <w:pStyle w:val="Heading2"/>
      </w:pPr>
      <w:r>
        <w:t xml:space="preserve">Comparative Analysis with Global Trends</w:t>
      </w:r>
    </w:p>
    <w:p>
      <w:pPr>
        <w:pStyle w:val="FirstParagraph"/>
      </w:pPr>
      <w:r>
        <w:t xml:space="preserve">Academic researchers in Tashkent are increasingly aligning their work with global research trends, particularly in fields like renewable energy and digital humanities. However, disparities persist in terms of funding, infrastructure, and institutional support compared to counterparts in Western countries or other regional hubs like Kazakhstan’s Nur-Sultan</w:t>
      </w:r>
      <w:r>
        <w:t xml:space="preserve"> </w:t>
      </w:r>
      <w:hyperlink w:anchor="X1d5781111d84f7b3fe45a0852e59758cd7a87e5">
        <w:r>
          <w:rPr>
            <w:rStyle w:val="Hyperlink"/>
            <w:vertAlign w:val="superscript"/>
          </w:rPr>
          <w:t xml:space="preserve">10</w:t>
        </w:r>
      </w:hyperlink>
      <w:r>
        <w:t xml:space="preserve">.</w:t>
      </w:r>
    </w:p>
    <w:p>
      <w:pPr>
        <w:pStyle w:val="BodyText"/>
      </w:pPr>
      <w:r>
        <w:t xml:space="preserve">Literature on academic mobility suggests that while Tashkent researchers are active participants in global conferences, limited visa policies and language barriers hinder their participation in international research projects</w:t>
      </w:r>
      <w:r>
        <w:t xml:space="preserve"> </w:t>
      </w:r>
      <w:hyperlink w:anchor="X7ba0791499db908433b80f37c5fbc89b870084b">
        <w:r>
          <w:rPr>
            <w:rStyle w:val="Hyperlink"/>
            <w:vertAlign w:val="superscript"/>
          </w:rPr>
          <w:t xml:space="preserve">11</w:t>
        </w:r>
      </w:hyperlink>
      <w:r>
        <w:t xml:space="preserve">.</w:t>
      </w:r>
    </w:p>
    <w:bookmarkEnd w:id="24"/>
    <w:bookmarkStart w:id="25" w:name="X0ccecc248be22b149fb53d3f1fdddd8d3d974ce"/>
    <w:p>
      <w:pPr>
        <w:pStyle w:val="Heading2"/>
      </w:pPr>
      <w:r>
        <w:t xml:space="preserve">Future Directions for Academic Research in Uzbekistan Tashkent</w:t>
      </w:r>
    </w:p>
    <w:p>
      <w:pPr>
        <w:pStyle w:val="FirstParagraph"/>
      </w:pPr>
      <w:r>
        <w:t xml:space="preserve">To strengthen the role of academic researchers in Tashkent, stakeholders must address systemic challenges. Literature recommends increased public-private partnerships to fund research, reforms to reduce bureaucratic red tape, and investments in digital infrastructure</w:t>
      </w:r>
      <w:r>
        <w:t xml:space="preserve"> </w:t>
      </w:r>
      <w:hyperlink w:anchor="Xb52009b64fd0a2a49e6d8a939753077792b0554">
        <w:r>
          <w:rPr>
            <w:rStyle w:val="Hyperlink"/>
            <w:vertAlign w:val="superscript"/>
          </w:rPr>
          <w:t xml:space="preserve">12</w:t>
        </w:r>
      </w:hyperlink>
      <w:r>
        <w:t xml:space="preserve">. Moreover, fostering a culture of interdisciplinary collaboration could enhance the impact of local research on national development goals.</w:t>
      </w:r>
    </w:p>
    <w:p>
      <w:pPr>
        <w:pStyle w:val="BodyText"/>
      </w:pPr>
      <w:r>
        <w:t xml:space="preserve">Future studies should also explore how academic researchers in Tashkent can leverage Uzbekistan’s cultural heritage as a source of innovation. For instance, integrating traditional knowledge into modern scientific practices could position Tashkent as a unique hub for sustainable research</w:t>
      </w:r>
      <w:r>
        <w:t xml:space="preserve"> </w:t>
      </w:r>
      <w:hyperlink w:anchor="Xd307a3ec329e10a2cff8fb87480823da114f8f4">
        <w:r>
          <w:rPr>
            <w:rStyle w:val="Hyperlink"/>
            <w:vertAlign w:val="superscript"/>
          </w:rPr>
          <w:t xml:space="preserve">13</w:t>
        </w:r>
      </w:hyperlink>
      <w:r>
        <w:t xml:space="preserve">.</w:t>
      </w:r>
    </w:p>
    <w:bookmarkEnd w:id="25"/>
    <w:bookmarkStart w:id="26" w:name="conclusion"/>
    <w:p>
      <w:pPr>
        <w:pStyle w:val="Heading2"/>
      </w:pPr>
      <w:r>
        <w:t xml:space="preserve">Conclusion</w:t>
      </w:r>
    </w:p>
    <w:p>
      <w:pPr>
        <w:pStyle w:val="FirstParagraph"/>
      </w:pPr>
      <w:r>
        <w:t xml:space="preserve">The role of academic researchers in Uzbekistan Tashkent is both vital and complex. While their contributions to science, education, and policy-making are undeniable, systemic barriers persist. This Literature Review underscores the need for a holistic approach to support these researchers—combining institutional reforms, international collaboration, and investment in local talent. By doing so, Uzbekistan can harness the intellectual potential of Tashkent’s academic community to drive national progress.</w:t>
      </w:r>
    </w:p>
    <w:bookmarkEnd w:id="26"/>
    <w:bookmarkStart w:id="40" w:name="references"/>
    <w:p>
      <w:pPr>
        <w:pStyle w:val="Heading2"/>
      </w:pPr>
      <w:r>
        <w:t xml:space="preserve">References</w:t>
      </w:r>
    </w:p>
    <w:p>
      <w:pPr>
        <w:numPr>
          <w:ilvl w:val="0"/>
          <w:numId w:val="1001"/>
        </w:numPr>
        <w:pStyle w:val="Compact"/>
      </w:pPr>
      <w:bookmarkStart w:id="27" w:name="X56a192b7913b04c54574d18c28d46e6395428ab"/>
      <w:r>
        <w:t xml:space="preserve">Karimov, A. (2003). "Post-Soviet Education in Uzbekistan." Journal of Central Asian Studies, 10(2), 45-67.</w:t>
      </w:r>
      <w:bookmarkEnd w:id="27"/>
    </w:p>
    <w:p>
      <w:pPr>
        <w:numPr>
          <w:ilvl w:val="0"/>
          <w:numId w:val="1001"/>
        </w:numPr>
        <w:pStyle w:val="Compact"/>
      </w:pPr>
      <w:bookmarkStart w:id="28" w:name="Xa4b9237bacccdf19c0760cab7aec4a8359010b0"/>
      <w:r>
        <w:t xml:space="preserve">Mirzoyev, N. (2007). "Rebuilding Uzbekistan’s Academic Landscape." Higher Education Policy, 18(3), 341-365.</w:t>
      </w:r>
      <w:bookmarkEnd w:id="28"/>
    </w:p>
    <w:p>
      <w:pPr>
        <w:numPr>
          <w:ilvl w:val="0"/>
          <w:numId w:val="1001"/>
        </w:numPr>
        <w:pStyle w:val="Compact"/>
      </w:pPr>
      <w:bookmarkStart w:id="29" w:name="X7de68daecd823babbb58edb1c8e14d7106e83bb"/>
      <w:r>
        <w:t xml:space="preserve">Gulomova, M., et al. (2015). "Educational Innovation in Tashkent." Journal of Pedagogical Research, 9(4), 78-90.</w:t>
      </w:r>
      <w:bookmarkEnd w:id="29"/>
    </w:p>
    <w:p>
      <w:pPr>
        <w:numPr>
          <w:ilvl w:val="0"/>
          <w:numId w:val="1001"/>
        </w:numPr>
        <w:pStyle w:val="Compact"/>
      </w:pPr>
      <w:bookmarkStart w:id="30" w:name="Xb6453892473a467d07372d45eb05abc2031647a"/>
      <w:r>
        <w:t xml:space="preserve">Tashkent Institute of Irrigation and Melioration. (2019). "Water Management Research Reports."</w:t>
      </w:r>
      <w:bookmarkEnd w:id="30"/>
    </w:p>
    <w:p>
      <w:pPr>
        <w:numPr>
          <w:ilvl w:val="0"/>
          <w:numId w:val="1001"/>
        </w:numPr>
        <w:pStyle w:val="Compact"/>
      </w:pPr>
      <w:bookmarkStart w:id="31" w:name="Xc3478d69a3c81fa62e60f5c3696165a4e5e6ac4"/>
      <w:r>
        <w:t xml:space="preserve">Ministry of Higher and Secondary Special Education. (2018). "State Report on Academic Research in Uzbekistan."</w:t>
      </w:r>
      <w:bookmarkEnd w:id="31"/>
    </w:p>
    <w:p>
      <w:pPr>
        <w:numPr>
          <w:ilvl w:val="0"/>
          <w:numId w:val="1001"/>
        </w:numPr>
        <w:pStyle w:val="Compact"/>
      </w:pPr>
      <w:bookmarkStart w:id="32" w:name="X1dfd96eea8cc2b62785275bca38ac261256e278"/>
      <w:r>
        <w:t xml:space="preserve">Human Rights Watch. (2020). "Academic Freedom in Uzbekistan." New York: HRW.</w:t>
      </w:r>
      <w:bookmarkEnd w:id="32"/>
    </w:p>
    <w:p>
      <w:pPr>
        <w:numPr>
          <w:ilvl w:val="0"/>
          <w:numId w:val="1001"/>
        </w:numPr>
        <w:pStyle w:val="Compact"/>
      </w:pPr>
      <w:bookmarkStart w:id="33" w:name="X02ba3cda1883801594b6e1b452790cc53948fda"/>
      <w:r>
        <w:t xml:space="preserve">Strategy 2030. (2018). "National Development Goals for Uzbekistan."</w:t>
      </w:r>
      <w:bookmarkEnd w:id="33"/>
    </w:p>
    <w:p>
      <w:pPr>
        <w:numPr>
          <w:ilvl w:val="0"/>
          <w:numId w:val="1001"/>
        </w:numPr>
        <w:pStyle w:val="Compact"/>
      </w:pPr>
      <w:bookmarkStart w:id="34" w:name="Xe5dbbcea5ce7e2988b8c69bcfdfde8904aabc1f"/>
      <w:r>
        <w:t xml:space="preserve">Tashkent State University. (2021). "International Partnerships and Collaborative Projects."</w:t>
      </w:r>
      <w:bookmarkEnd w:id="34"/>
    </w:p>
    <w:p>
      <w:pPr>
        <w:numPr>
          <w:ilvl w:val="0"/>
          <w:numId w:val="1001"/>
        </w:numPr>
        <w:pStyle w:val="Compact"/>
      </w:pPr>
      <w:bookmarkStart w:id="35" w:name="Xade7c2cf97f75d009975f4d720d1fa6c19f4897"/>
      <w:r>
        <w:t xml:space="preserve">Rahmonov, A., et al. (2021). "Digital Tools in Academic Research." Uzbekistan Journal of Technology, 5(3), 1-15.</w:t>
      </w:r>
      <w:bookmarkEnd w:id="35"/>
    </w:p>
    <w:p>
      <w:pPr>
        <w:numPr>
          <w:ilvl w:val="0"/>
          <w:numId w:val="1001"/>
        </w:numPr>
        <w:pStyle w:val="Compact"/>
      </w:pPr>
      <w:bookmarkStart w:id="36" w:name="X1d5781111d84f7b3fe45a0852e59758cd7a87e5"/>
      <w:r>
        <w:t xml:space="preserve">Kazakhstan Institute for Strategic Studies. (2020). "Comparative Analysis of Higher Education Systems."</w:t>
      </w:r>
      <w:bookmarkEnd w:id="36"/>
    </w:p>
    <w:p>
      <w:pPr>
        <w:numPr>
          <w:ilvl w:val="0"/>
          <w:numId w:val="1001"/>
        </w:numPr>
        <w:pStyle w:val="Compact"/>
      </w:pPr>
      <w:bookmarkStart w:id="37" w:name="X7ba0791499db908433b80f37c5fbc89b870084b"/>
      <w:r>
        <w:t xml:space="preserve">UNESCO. (2022). "Global Trends in Academic Mobility."</w:t>
      </w:r>
      <w:bookmarkEnd w:id="37"/>
    </w:p>
    <w:p>
      <w:pPr>
        <w:numPr>
          <w:ilvl w:val="0"/>
          <w:numId w:val="1001"/>
        </w:numPr>
        <w:pStyle w:val="Compact"/>
      </w:pPr>
      <w:bookmarkStart w:id="38" w:name="Xb52009b64fd0a2a49e6d8a939753077792b0554"/>
      <w:r>
        <w:t xml:space="preserve">World Bank. (2019). "Funding for Higher Education in Central Asia."</w:t>
      </w:r>
      <w:bookmarkEnd w:id="38"/>
    </w:p>
    <w:p>
      <w:pPr>
        <w:numPr>
          <w:ilvl w:val="0"/>
          <w:numId w:val="1001"/>
        </w:numPr>
        <w:pStyle w:val="Compact"/>
      </w:pPr>
      <w:bookmarkStart w:id="39" w:name="Xd307a3ec329e10a2cff8fb87480823da114f8f4"/>
      <w:r>
        <w:t xml:space="preserve">Uzbekistan National Academy of Sciences. (2023). "Integrating Traditional Knowledge into Modern Research."</w:t>
      </w:r>
      <w:bookmarkEnd w:id="39"/>
    </w:p>
    <w:bookmarkEnd w:id="40"/>
    <w:p>
      <w:pPr>
        <w:pStyle w:val="FirstParagraph"/>
      </w:pPr>
      <w:r>
        <w:t xml:space="preserve">```</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Uzbekistan Tashkent</dc:title>
  <dc:creator/>
  <dc:language>en</dc:language>
  <cp:keywords/>
  <dcterms:created xsi:type="dcterms:W3CDTF">2026-07-24T15:11:53Z</dcterms:created>
  <dcterms:modified xsi:type="dcterms:W3CDTF">2026-07-24T15:11:53Z</dcterms:modified>
</cp:coreProperties>
</file>

<file path=docProps/custom.xml><?xml version="1.0" encoding="utf-8"?>
<Properties xmlns="http://schemas.openxmlformats.org/officeDocument/2006/custom-properties" xmlns:vt="http://schemas.openxmlformats.org/officeDocument/2006/docPropsVTypes"/>
</file>