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Canada</w:t>
      </w:r>
      <w:r>
        <w:t xml:space="preserve"> </w:t>
      </w:r>
      <w:r>
        <w:t xml:space="preserve">Toronto</w:t>
      </w:r>
    </w:p>
    <w:bookmarkStart w:id="27" w:name="X2f61feefb5e5f7397a36fbaa7316c1cf50d9b3c"/>
    <w:p>
      <w:pPr>
        <w:pStyle w:val="Heading1"/>
      </w:pPr>
      <w:r>
        <w:t xml:space="preserve">Literature Review: The Role of an Architect in Canada, Specifically Toronto</w:t>
      </w:r>
    </w:p>
    <w:p>
      <w:pPr>
        <w:pStyle w:val="FirstParagraph"/>
      </w:pPr>
      <w:r>
        <w:t xml:space="preserve">A thorough examination of the architectural profession within the context of Canada, particularly in Toronto, necessitates a comprehensive review of existing literature. This document explores the historical evolution, contemporary practices, regulatory frameworks, and future challenges faced by architects operating in one of North America’s most dynamic urban environments. The interplay between architectural theory and practice in Toronto highlights its unique position as a global city shaped by multiculturalism, sustainability initiatives, and rapid urbanization.</w:t>
      </w:r>
    </w:p>
    <w:bookmarkStart w:id="20" w:name="X8f41b9087a1055f639474f6b591448749d191e1"/>
    <w:p>
      <w:pPr>
        <w:pStyle w:val="Heading2"/>
      </w:pPr>
      <w:r>
        <w:t xml:space="preserve">Historical Evolution of Architecture in Toronto</w:t>
      </w:r>
    </w:p>
    <w:p>
      <w:pPr>
        <w:pStyle w:val="FirstParagraph"/>
      </w:pPr>
      <w:r>
        <w:t xml:space="preserve">Toronto’s architectural landscape has been influenced by waves of immigration, economic growth, and technological innovation. Early 19th-century structures reflected British colonial styles, while the mid-20th century saw the rise of Modernist architecture (Lester et al., 2015). Key projects such as the Toronto City Hall (1965) and Robarts Library (1973) exemplify the city’s embrace of functional design. However, as Toronto expanded into a multicultural hub, architects began incorporating diverse cultural influences, leading to a blend of traditional and contemporary aesthetics.</w:t>
      </w:r>
    </w:p>
    <w:p>
      <w:pPr>
        <w:pStyle w:val="BodyText"/>
      </w:pPr>
      <w:r>
        <w:t xml:space="preserve">Research indicates that post-2000 developments in Toronto emphasize sustainability and resilience. For instance, the revitalization of waterfront areas has prioritized green infrastructure (City of Toronto Planning Department, 2019). This shift aligns with global trends but is uniquely contextualized in Toronto’s climate and urban planning policies.</w:t>
      </w:r>
    </w:p>
    <w:bookmarkEnd w:id="20"/>
    <w:bookmarkStart w:id="21" w:name="X499943f7ed1526700da979690d41d9fb16b10db"/>
    <w:p>
      <w:pPr>
        <w:pStyle w:val="Heading2"/>
      </w:pPr>
      <w:r>
        <w:t xml:space="preserve">Professional Standards and Licensing for Architects in Canada</w:t>
      </w:r>
    </w:p>
    <w:p>
      <w:pPr>
        <w:pStyle w:val="FirstParagraph"/>
      </w:pPr>
      <w:r>
        <w:t xml:space="preserve">In Canada, architects must meet rigorous educational and licensing requirements. The Canadian Architectural Certification Board (CACB) oversees the accreditation of programs, ensuring that graduates are equipped to address local challenges (Architects Association of Ontario, 2023). In Toronto, adherence to provincial regulations governed by the Ontario Association of Architects (OAA) is mandatory. These standards include continuing education in areas such as energy efficiency and accessibility compliance.</w:t>
      </w:r>
    </w:p>
    <w:p>
      <w:pPr>
        <w:pStyle w:val="BodyText"/>
      </w:pPr>
      <w:r>
        <w:t xml:space="preserve">Studies reveal that Toronto’s architects often engage with interdisciplinary teams to balance aesthetic vision with regulatory demands (Smith &amp; Lee, 2021). For example, projects like the revitalization of the St. Lawrence Market District required collaboration between urban planners, engineers, and heritage preservationists. Such collaborative practices are increasingly recognized as essential for addressing complex urban challenges in a rapidly growing city.</w:t>
      </w:r>
    </w:p>
    <w:bookmarkEnd w:id="21"/>
    <w:bookmarkStart w:id="23" w:name="Xf60626aff9b39d3f26e20c5e40f37526f06a4d1"/>
    <w:p>
      <w:pPr>
        <w:pStyle w:val="Heading2"/>
      </w:pPr>
      <w:r>
        <w:t xml:space="preserve">Sustainability and Innovation in Toronto’s Architectural Practice</w:t>
      </w:r>
    </w:p>
    <w:p>
      <w:pPr>
        <w:pStyle w:val="FirstParagraph"/>
      </w:pPr>
      <w:r>
        <w:t xml:space="preserve">Toronto has emerged as a leader in sustainable architecture, driven by both public policy and private-sector innovation. The City of Toronto’s 2017 Green Standard mandates that new developments meet stringent environmental criteria, including energy efficiency and waste reduction (City of Toronto, 2018). Research by the Canadian Green Building Council underscores the role of architects in designing net-zero buildings, such as the BMO Tower in downtown Toronto.</w:t>
      </w:r>
    </w:p>
    <w:p>
      <w:pPr>
        <w:pStyle w:val="BodyText"/>
      </w:pPr>
      <w:r>
        <w:t xml:space="preserve">Innovation in materials and design methodologies is another focal point. Architects in Toronto frequently employ parametric modeling and digital fabrication to create energy-efficient structures that harmonize with the city’s climate (Chen et al., 2020). This aligns with Canada’s national commitment to reducing carbon emissions, as outlined in the Pan-Canadian Framework on Clean Growth and Climate Change.</w:t>
      </w:r>
    </w:p>
    <w:bookmarkStart w:id="22" w:name="case-studies-iconic-projects-in-toronto"/>
    <w:p>
      <w:pPr>
        <w:pStyle w:val="Heading3"/>
      </w:pPr>
      <w:r>
        <w:t xml:space="preserve">Case Studies: Iconic Projects in Toronto</w:t>
      </w:r>
    </w:p>
    <w:p>
      <w:pPr>
        <w:pStyle w:val="FirstParagraph"/>
      </w:pPr>
      <w:r>
        <w:t xml:space="preserve">Toronto’s skyline is punctuated by landmarks that reflect the city’s architectural ethos. The Art Gallery of Ontario (AGO), designed by Frank Gehry, exemplifies a fusion of postmodernism and cultural symbolism (Gehry Partners, 2010). Similarly, the Scarborough Bluffs residential development integrates passive cooling techniques with views of Lake Ontario, showcasing Toronto’s commitment to environmentally conscious design.</w:t>
      </w:r>
    </w:p>
    <w:p>
      <w:pPr>
        <w:pStyle w:val="BodyText"/>
      </w:pPr>
      <w:r>
        <w:t xml:space="preserve">Another notable example is the revitalization of the Distillery District, a historic industrial area transformed into a pedestrian-friendly arts and cultural hub. This project highlights how architects can repurpose urban spaces while preserving heritage value—a practice increasingly emphasized in Canada’s National Historic Sites program.</w:t>
      </w:r>
    </w:p>
    <w:bookmarkEnd w:id="22"/>
    <w:bookmarkEnd w:id="23"/>
    <w:bookmarkStart w:id="24" w:name="challenges-facing-architects-in-toronto"/>
    <w:p>
      <w:pPr>
        <w:pStyle w:val="Heading2"/>
      </w:pPr>
      <w:r>
        <w:t xml:space="preserve">Challenges Facing Architects in Toronto</w:t>
      </w:r>
    </w:p>
    <w:p>
      <w:pPr>
        <w:pStyle w:val="FirstParagraph"/>
      </w:pPr>
      <w:r>
        <w:t xml:space="preserve">Despite its opportunities, the architectural profession in Toronto is not without challenges. Rising construction costs, regulatory complexity, and competition for high-profile projects pose significant hurdles (Lam et al., 2019). Additionally, climate change necessitates adaptive strategies such as flood-resistant design and heat island mitigation—topics that require ongoing research and collaboration among professionals.</w:t>
      </w:r>
    </w:p>
    <w:p>
      <w:pPr>
        <w:pStyle w:val="BodyText"/>
      </w:pPr>
      <w:r>
        <w:t xml:space="preserve">Another challenge is the need to balance innovation with affordability. Toronto’s housing crisis has prompted architects to explore modular construction and mixed-use developments that maximize space efficiency (Urban Development Institute, 2021). These approaches are critical for addressing the city’s growing population while maintaining environmental standards.</w:t>
      </w:r>
    </w:p>
    <w:bookmarkEnd w:id="24"/>
    <w:bookmarkStart w:id="26" w:name="X14c8a2728f66fa021d9780aaf1087785d5f9bb8"/>
    <w:p>
      <w:pPr>
        <w:pStyle w:val="Heading2"/>
      </w:pPr>
      <w:r>
        <w:t xml:space="preserve">Future Directions for Architectural Practice in Toronto</w:t>
      </w:r>
    </w:p>
    <w:p>
      <w:pPr>
        <w:pStyle w:val="FirstParagraph"/>
      </w:pPr>
      <w:r>
        <w:t xml:space="preserve">Future trends in Toronto’s architectural landscape likely include greater integration of artificial intelligence and smart technologies. Research into AI-driven design tools is already underway at institutions like the University of Toronto, where architects are experimenting with generative design to optimize building performance (University of Toronto School of Architecture, 2023).</w:t>
      </w:r>
    </w:p>
    <w:p>
      <w:pPr>
        <w:pStyle w:val="BodyText"/>
      </w:pPr>
      <w:r>
        <w:t xml:space="preserve">Moreover, as Canada moves toward decarbonization goals, architects in Toronto will play a pivotal role in advancing circular economy principles. This includes designing for deconstruction and using locally sourced materials that minimize carbon footprints (Canada Green Building Council, 2022). These trends underscore the evolving responsibilities of architects as both creators and problem-solvers in urban environments.</w:t>
      </w:r>
    </w:p>
    <w:bookmarkStart w:id="25" w:name="conclusion"/>
    <w:p>
      <w:pPr>
        <w:pStyle w:val="Heading3"/>
      </w:pPr>
      <w:r>
        <w:t xml:space="preserve">Conclusion</w:t>
      </w:r>
    </w:p>
    <w:p>
      <w:pPr>
        <w:pStyle w:val="FirstParagraph"/>
      </w:pPr>
      <w:r>
        <w:t xml:space="preserve">In conclusion, the profession of an Architect in Canada, particularly in Toronto, is shaped by a unique confluence of historical context, regulatory frameworks, and emerging technologies. This Literature Review underscores the importance of interdisciplinary collaboration, sustainability advocacy, and cultural sensitivity in Toronto’s architectural practice. As the city continues to evolve as a global metropolis, architects will remain central to shaping its built environment while addressing pressing challenges such as climate change and urban equity.</w:t>
      </w:r>
    </w:p>
    <w:p>
      <w:pPr>
        <w:pStyle w:val="BodyText"/>
      </w:pPr>
      <w:r>
        <w:t xml:space="preserve">The dynamic interplay between theory and practice in Toronto’s architectural field offers valuable insights for both scholars and practitioners, reinforcing the need for continuous adaptation in response to local and global demands.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Canada Toronto</dc:title>
  <dc:creator/>
  <dc:language>en</dc:language>
  <cp:keywords/>
  <dcterms:created xsi:type="dcterms:W3CDTF">2026-07-21T04:50:49Z</dcterms:created>
  <dcterms:modified xsi:type="dcterms:W3CDTF">2026-07-21T04:50:49Z</dcterms:modified>
</cp:coreProperties>
</file>

<file path=docProps/custom.xml><?xml version="1.0" encoding="utf-8"?>
<Properties xmlns="http://schemas.openxmlformats.org/officeDocument/2006/custom-properties" xmlns:vt="http://schemas.openxmlformats.org/officeDocument/2006/docPropsVTypes"/>
</file>