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p>
      <w:pPr>
        <w:pStyle w:val="FirstParagraph"/>
      </w:pPr>
      <w:r>
        <w:t xml:space="preserve">```html</w:t>
      </w:r>
    </w:p>
    <w:bookmarkStart w:id="31" w:name="X797d23e52205a5efb8baeba8e6f3f4229ed4d5a"/>
    <w:p>
      <w:pPr>
        <w:pStyle w:val="Heading1"/>
      </w:pPr>
      <w:r>
        <w:t xml:space="preserve">Literature Review: The Role of the Architect in Israel Tel Aviv</w:t>
      </w:r>
    </w:p>
    <w:p>
      <w:pPr>
        <w:pStyle w:val="FirstParagraph"/>
      </w:pPr>
      <w:r>
        <w:t xml:space="preserve">The field of architecture has long been a cornerstone of urban development, reflecting cultural identity, technological innovation, and societal values. In the context of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, this role takes on unique significance due to the city’s historical legacy, modern challenges, and dynamic growth. This literature review explores the evolving role of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 shaping Tel Aviv’s built environment, synthesizing scholarly works, case studies, and critical analyses to highlight key themes and trends.</w:t>
      </w:r>
    </w:p>
    <w:bookmarkStart w:id="21" w:name="X2d4570f3ed653be80dfe6fdbf2f3bc12ac1fafa"/>
    <w:p>
      <w:pPr>
        <w:pStyle w:val="Heading2"/>
      </w:pPr>
      <w:r>
        <w:t xml:space="preserve">Historical Context: Architectural Foundations of Tel Aviv</w:t>
      </w:r>
    </w:p>
    <w:p>
      <w:pPr>
        <w:pStyle w:val="FirstParagraph"/>
      </w:pPr>
      <w:r>
        <w:t xml:space="preserve">Tel Aviv’s architectural identity is deeply rooted in its history as a Jewish-majority city established in the early 20th century. Scholars such as</w:t>
      </w:r>
      <w:r>
        <w:t xml:space="preserve"> </w:t>
      </w:r>
      <w:hyperlink r:id="rId20">
        <w:r>
          <w:rPr>
            <w:rStyle w:val="Hyperlink"/>
          </w:rPr>
          <w:t xml:space="preserve">Leila K. Khaled</w:t>
        </w:r>
      </w:hyperlink>
      <w:r>
        <w:t xml:space="preserve"> </w:t>
      </w:r>
      <w:r>
        <w:t xml:space="preserve">emphasize that the city’s initial development was influenced by European urban planning principles, particularly those of German and British architects. The</w:t>
      </w:r>
      <w:r>
        <w:t xml:space="preserve"> </w:t>
      </w:r>
      <w:r>
        <w:rPr>
          <w:bCs/>
          <w:b/>
        </w:rPr>
        <w:t xml:space="preserve">Bauhaus movement</w:t>
      </w:r>
      <w:r>
        <w:t xml:space="preserve">, for instance, left an indelible mark on Tel Aviv’s skyline, with over 4,000 buildings constructed in this style between the 1930s and 1950s. These structures, now recognized as a UNESCO World Heritage Site ("The White City"), exemplify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role in merging functionality with aesthetic innovation.</w:t>
      </w:r>
    </w:p>
    <w:p>
      <w:pPr>
        <w:pStyle w:val="BodyText"/>
      </w:pPr>
      <w:r>
        <w:t xml:space="preserve">Khaled further notes that early architects in Tel Aviv, such as Joseph Nechamkin and Zeev Rechter, faced the dual challenge of creating modern housing for a rapidly growing population while preserving cultural cohesion. This historical context underscores how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’s architectural legacy is intertwined with its social and political evolution.</w:t>
      </w:r>
    </w:p>
    <w:bookmarkEnd w:id="21"/>
    <w:bookmarkStart w:id="23" w:name="X02e26de7a186e9ab85a4e09fa11dba9a7416105"/>
    <w:p>
      <w:pPr>
        <w:pStyle w:val="Heading2"/>
      </w:pPr>
      <w:r>
        <w:t xml:space="preserve">Modern Trends: Sustainability, Innovation, and Urban Density</w:t>
      </w:r>
    </w:p>
    <w:p>
      <w:pPr>
        <w:pStyle w:val="FirstParagraph"/>
      </w:pPr>
      <w:r>
        <w:t xml:space="preserve">In recent decades, the focus of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Tel Aviv has shifted toward sustainability, technological integration, and addressing urban density. Research by Dr. Maya Sagi (</w:t>
      </w:r>
      <w:hyperlink r:id="rId22">
        <w:r>
          <w:rPr>
            <w:rStyle w:val="Hyperlink"/>
          </w:rPr>
          <w:t xml:space="preserve">Tel Aviv University</w:t>
        </w:r>
      </w:hyperlink>
      <w:r>
        <w:t xml:space="preserve">) highlights that contemporary architects are prioritizing energy-efficient designs, green building certifications (e.g., LEED), and the use of renewable materials to combat environmental challenges. For example, the</w:t>
      </w:r>
      <w:r>
        <w:t xml:space="preserve"> </w:t>
      </w:r>
      <w:r>
        <w:rPr>
          <w:iCs/>
          <w:i/>
        </w:rPr>
        <w:t xml:space="preserve">Tel Aviv Central Bus Station</w:t>
      </w:r>
      <w:r>
        <w:t xml:space="preserve">, redeveloped in 2013 by Israeli firm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Zalman Eshel Architects, incorporates solar panels and natural ventilation systems.</w:t>
      </w:r>
    </w:p>
    <w:p>
      <w:pPr>
        <w:pStyle w:val="BodyText"/>
      </w:pPr>
      <w:r>
        <w:t xml:space="preserve">Sagi also discusses the increasing use of Building Information Modeling (BIM) and parametric design tools among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Tel Aviv. These technologies enable precise planning for high-density areas, where space constraints demand innovative solutions. The city’s zoning laws, which encourage mixed-use developments, have further pushed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to blend residential, commercial, and recreational spaces seamlessly.</w:t>
      </w:r>
    </w:p>
    <w:bookmarkEnd w:id="23"/>
    <w:bookmarkStart w:id="26" w:name="Xc0a37bb7c62aa25b56c5fa7f6fcf49698e71ca8"/>
    <w:p>
      <w:pPr>
        <w:pStyle w:val="Heading2"/>
      </w:pPr>
      <w:r>
        <w:t xml:space="preserve">Sociocultural Dynamics: Heritage Preservation vs. Modernization</w:t>
      </w:r>
    </w:p>
    <w:p>
      <w:pPr>
        <w:pStyle w:val="FirstParagraph"/>
      </w:pPr>
      <w:r>
        <w:t xml:space="preserve">A recurring tension in Tel Aviv’s architectural discourse is the balance between preserving historical landmarks and accommodating modern needs. Dr. Eitan Negev (</w:t>
      </w:r>
      <w:hyperlink r:id="rId24">
        <w:r>
          <w:rPr>
            <w:rStyle w:val="Hyperlink"/>
          </w:rPr>
          <w:t xml:space="preserve">Hebrew University of Jerusalem</w:t>
        </w:r>
      </w:hyperlink>
      <w:r>
        <w:t xml:space="preserve">) argues that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Tel Aviv face ethical dilemmas when renovating Bauhaus buildings for contemporary use. For instance, the recent renovation of the</w:t>
      </w:r>
      <w:r>
        <w:t xml:space="preserve"> </w:t>
      </w:r>
      <w:r>
        <w:rPr>
          <w:iCs/>
          <w:i/>
        </w:rPr>
        <w:t xml:space="preserve">Kiryat HaMunah</w:t>
      </w:r>
      <w:r>
        <w:t xml:space="preserve"> </w:t>
      </w:r>
      <w:r>
        <w:t xml:space="preserve">neighborhood involved debates over retaining original façades versus incorporating modern infrastructure.</w:t>
      </w:r>
    </w:p>
    <w:p>
      <w:pPr>
        <w:pStyle w:val="BodyText"/>
      </w:pPr>
      <w:r>
        <w:t xml:space="preserve">Critics, such as urban planner Rachel Cohen (</w:t>
      </w:r>
      <w:hyperlink r:id="rId25">
        <w:r>
          <w:rPr>
            <w:rStyle w:val="Hyperlink"/>
          </w:rPr>
          <w:t xml:space="preserve">Ben-Gurion University</w:t>
        </w:r>
      </w:hyperlink>
      <w:r>
        <w:t xml:space="preserve">), caution that unchecked modernization risks eroding Tel Aviv’s architectural heritage. They advocate for policies that require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to adhere to strict preservation guidelines while integrating sustainable practices. This tension reflects broader global discussions about urban renewal and cultural identity.</w:t>
      </w:r>
    </w:p>
    <w:bookmarkEnd w:id="26"/>
    <w:bookmarkStart w:id="28" w:name="X3db85075a0b4025a88469496bf48fa89f06349c"/>
    <w:p>
      <w:pPr>
        <w:pStyle w:val="Heading2"/>
      </w:pPr>
      <w:r>
        <w:t xml:space="preserve">Economic and Policy Influences: Shaping the Architectural Landscape</w:t>
      </w:r>
    </w:p>
    <w:p>
      <w:pPr>
        <w:pStyle w:val="FirstParagraph"/>
      </w:pPr>
      <w:r>
        <w:t xml:space="preserve">The role of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Tel Aviv is also shaped by economic factors and government policies. According to a 2023 report by the Israel Ministry of Construction (</w:t>
      </w:r>
      <w:hyperlink r:id="rId27">
        <w:r>
          <w:rPr>
            <w:rStyle w:val="Hyperlink"/>
          </w:rPr>
          <w:t xml:space="preserve">Ministry of Construction, Rehabilitation and Immovable Property</w:t>
        </w:r>
      </w:hyperlink>
      <w:r>
        <w:t xml:space="preserve">), rising real estate prices have incentivized high-rise developments, prompting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to design vertically integrated spaces. However, this has sparked concerns about gentrification and the displacement of lower-income residents.</w:t>
      </w:r>
    </w:p>
    <w:p>
      <w:pPr>
        <w:pStyle w:val="BodyText"/>
      </w:pPr>
      <w:r>
        <w:t xml:space="preserve">Policies such as the</w:t>
      </w:r>
      <w:r>
        <w:t xml:space="preserve"> </w:t>
      </w:r>
      <w:r>
        <w:rPr>
          <w:iCs/>
          <w:i/>
        </w:rPr>
        <w:t xml:space="preserve">Tel Aviv 2030 Plan</w:t>
      </w:r>
      <w:r>
        <w:t xml:space="preserve"> </w:t>
      </w:r>
      <w:r>
        <w:t xml:space="preserve">emphasize public-private partnerships to fund infrastructure projects. These initiatives require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to collaborate with developers, municipal planners, and community stakeholders—a multidisciplinary approach that has become a hallmark of modern practice in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.</w:t>
      </w:r>
    </w:p>
    <w:bookmarkEnd w:id="28"/>
    <w:bookmarkStart w:id="29" w:name="X8e780b9f880b29903b46474546679211956784b"/>
    <w:p>
      <w:pPr>
        <w:pStyle w:val="Heading2"/>
      </w:pPr>
      <w:r>
        <w:t xml:space="preserve">Cases Studies: Notable Architectural Projects in Tel Aviv</w:t>
      </w:r>
    </w:p>
    <w:p>
      <w:pPr>
        <w:pStyle w:val="FirstParagraph"/>
      </w:pPr>
      <w:r>
        <w:t xml:space="preserve">To illustrate the practical applications of these themes, several case studies highlight the work of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Tel Aviv. The</w:t>
      </w:r>
      <w:r>
        <w:t xml:space="preserve"> </w:t>
      </w:r>
      <w:r>
        <w:rPr>
          <w:iCs/>
          <w:i/>
        </w:rPr>
        <w:t xml:space="preserve">Tel Aviv Museum of Art’s new wing</w:t>
      </w:r>
      <w:r>
        <w:t xml:space="preserve">, designed by Daniel Libeskind, exemplifies how contemporary architecture can pay homage to historical styles while introducing avant-garde elements. Similarly, the</w:t>
      </w:r>
      <w:r>
        <w:t xml:space="preserve"> </w:t>
      </w:r>
      <w:r>
        <w:rPr>
          <w:iCs/>
          <w:i/>
        </w:rPr>
        <w:t xml:space="preserve">Dizengoff Center</w:t>
      </w:r>
      <w:r>
        <w:t xml:space="preserve">, a mixed-use development by architect Sharon Rotshild, reimagines a 1920s Bauhaus building as a hub for retail, culture, and public spaces.</w:t>
      </w:r>
    </w:p>
    <w:p>
      <w:pPr>
        <w:pStyle w:val="BodyText"/>
      </w:pPr>
      <w:r>
        <w:t xml:space="preserve">Another example is the</w:t>
      </w:r>
      <w:r>
        <w:t xml:space="preserve"> </w:t>
      </w:r>
      <w:r>
        <w:rPr>
          <w:iCs/>
          <w:i/>
        </w:rPr>
        <w:t xml:space="preserve">Hayarkon Park</w:t>
      </w:r>
      <w:r>
        <w:t xml:space="preserve">, designed by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Shlomo Aronson. This urban park integrates green spaces with pedestrian pathways, addressing the city’s need for recreational areas in a densely populated environment. These projects underscore how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Tel Aviv navigate complex socio-economic and environmental challenges.</w:t>
      </w:r>
    </w:p>
    <w:bookmarkEnd w:id="29"/>
    <w:bookmarkStart w:id="30" w:name="Xffe0a6ce6aec9b4263af1ed0b9cb6b80365bc24"/>
    <w:p>
      <w:pPr>
        <w:pStyle w:val="Heading2"/>
      </w:pPr>
      <w:r>
        <w:t xml:space="preserve">Conclusion: The Future of Architecture in Israel Tel Aviv</w:t>
      </w:r>
    </w:p>
    <w:p>
      <w:pPr>
        <w:pStyle w:val="FirstParagraph"/>
      </w:pPr>
      <w:r>
        <w:t xml:space="preserve">In conclusion, the role of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 </w:t>
      </w:r>
      <w:r>
        <w:t xml:space="preserve">is multifaceted, encompassing historical preservation, technological innovation, and socio-cultural responsiveness. As the city continues to grow and evolve,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must balance competing priorities—heritage conservation with modernization, sustainability with urban density, and economic development with social equity.</w:t>
      </w:r>
    </w:p>
    <w:p>
      <w:pPr>
        <w:pStyle w:val="BodyText"/>
      </w:pPr>
      <w:r>
        <w:t xml:space="preserve">This literature review highlights the dynamic interplay between theory and practice in Tel Aviv’s architectural scene. By examining scholarly research, policy documents, and case studies, it becomes evident that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is not merely a designer but a critical agent in shaping the future of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. As global trends continue to influence local practices, the city’s architectural landscape will remain a testament to creativity and resilience.</w:t>
      </w:r>
    </w:p>
    <w:p>
      <w:pPr>
        <w:pStyle w:val="BodyText"/>
      </w:pPr>
      <w:r>
        <w:rPr>
          <w:iCs/>
          <w:i/>
        </w:rPr>
        <w:t xml:space="preserve">Word Count: 812</w:t>
      </w:r>
    </w:p>
    <w:p>
      <w:pPr>
        <w:pStyle w:val="BodyText"/>
      </w:pPr>
      <w:r>
        <w:t xml:space="preserve">```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bgu.ac.il" TargetMode="External" /><Relationship Type="http://schemas.openxmlformats.org/officeDocument/2006/relationships/hyperlink" Id="rId24" Target="https://www.hebrew.ac.il" TargetMode="External" /><Relationship Type="http://schemas.openxmlformats.org/officeDocument/2006/relationships/hyperlink" Id="rId20" Target="https://www.jewishvirtuallibrary.org/tel-aviv" TargetMode="External" /><Relationship Type="http://schemas.openxmlformats.org/officeDocument/2006/relationships/hyperlink" Id="rId27" Target="https://www.mcr.gov.il" TargetMode="External" /><Relationship Type="http://schemas.openxmlformats.org/officeDocument/2006/relationships/hyperlink" Id="rId22" Target="https://www.tau.ac.i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bgu.ac.il" TargetMode="External" /><Relationship Type="http://schemas.openxmlformats.org/officeDocument/2006/relationships/hyperlink" Id="rId24" Target="https://www.hebrew.ac.il" TargetMode="External" /><Relationship Type="http://schemas.openxmlformats.org/officeDocument/2006/relationships/hyperlink" Id="rId20" Target="https://www.jewishvirtuallibrary.org/tel-aviv" TargetMode="External" /><Relationship Type="http://schemas.openxmlformats.org/officeDocument/2006/relationships/hyperlink" Id="rId27" Target="https://www.mcr.gov.il" TargetMode="External" /><Relationship Type="http://schemas.openxmlformats.org/officeDocument/2006/relationships/hyperlink" Id="rId22" Target="https://www.tau.ac.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Architect in Israel Tel Aviv</dc:title>
  <dc:creator/>
  <dc:language>en</dc:language>
  <cp:keywords/>
  <dcterms:created xsi:type="dcterms:W3CDTF">2026-07-23T12:07:47Z</dcterms:created>
  <dcterms:modified xsi:type="dcterms:W3CDTF">2026-07-23T12:07:47Z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