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dd20c1192cce4d77c1b362a1684bdc7a8cb673"/>
    <w:p>
      <w:pPr>
        <w:pStyle w:val="Heading1"/>
      </w:pPr>
      <w:r>
        <w:t xml:space="preserve">Literature Review: The Role of the Architect in Malaysia Kuala Lumpur</w:t>
      </w:r>
    </w:p>
    <w:bookmarkStart w:id="20" w:name="introduction"/>
    <w:p>
      <w:pPr>
        <w:pStyle w:val="Heading2"/>
      </w:pPr>
      <w:r>
        <w:t xml:space="preserve">Introduction</w:t>
      </w:r>
    </w:p>
    <w:p>
      <w:pPr>
        <w:pStyle w:val="FirstParagraph"/>
      </w:pPr>
      <w:r>
        <w:t xml:space="preserve">A literature review on the role of an architect in Malaysia Kuala Lumpur is essential to understanding how architectural practices intersect with cultural, environmental, and socio-economic contexts. This document explores existing research, case studies, and scholarly perspectives to highlight the unique contributions of architects in shaping Kuala Lumpur’s urban landscape. As a rapidly developing metropolis, Malaysia’s capital presents distinct challenges and opportunities for architects navigating modernity while respecting local heritage.</w:t>
      </w:r>
    </w:p>
    <w:bookmarkEnd w:id="20"/>
    <w:bookmarkStart w:id="21" w:name="the-architect-as-a-cultural-mediator"/>
    <w:p>
      <w:pPr>
        <w:pStyle w:val="Heading2"/>
      </w:pPr>
      <w:r>
        <w:t xml:space="preserve">The Architect as a Cultural Mediator</w:t>
      </w:r>
    </w:p>
    <w:p>
      <w:pPr>
        <w:pStyle w:val="FirstParagraph"/>
      </w:pPr>
      <w:r>
        <w:t xml:space="preserve">Architects in Malaysia Kuala Lumpur are often seen as cultural mediators, tasked with blending traditional Malay architecture with contemporary design principles. According to Tan (2018), the integration of local materials like timber and terracotta into modern structures has become a hallmark of sustainable design in the region. This approach not only preserves cultural identity but also addresses environmental concerns such as heat retention in tropical climates. Studies by Lim et al. (2020) further emphasize that architects must reconcile vernacular traditions with global trends, ensuring that projects like the National Mosque or residential complexes reflect both functionality and symbolism.</w:t>
      </w:r>
    </w:p>
    <w:bookmarkEnd w:id="21"/>
    <w:bookmarkStart w:id="23" w:name="X263bf560e6742342599eb0fe75c0bd7b5d846fc"/>
    <w:p>
      <w:pPr>
        <w:pStyle w:val="Heading2"/>
      </w:pPr>
      <w:r>
        <w:t xml:space="preserve">Urban Development and Architectural Innovation</w:t>
      </w:r>
    </w:p>
    <w:p>
      <w:pPr>
        <w:pStyle w:val="FirstParagraph"/>
      </w:pPr>
      <w:r>
        <w:t xml:space="preserve">Kuala Lumpur’s skyline is a testament to architectural innovation driven by the city’s economic ambitions. The Petronas Towers, designed by César Pelli, exemplify how international architects collaborate with local firms to create iconic landmarks. Research by Rahman (2019) notes that such projects often face scrutiny for prioritizing aesthetics over community needs. However, literature on urban planning in Malaysia highlights the critical role of architects in ensuring that high-rise developments incorporate green spaces and pedestrian-friendly layouts, as seen in the KLCC Park and Bukit Bintang’s mixed-use complexes.</w:t>
      </w:r>
    </w:p>
    <w:bookmarkStart w:id="22" w:name="challenges-in-architectural-practice"/>
    <w:p>
      <w:pPr>
        <w:pStyle w:val="Heading3"/>
      </w:pPr>
      <w:r>
        <w:t xml:space="preserve">Challenges in Architectural Practice</w:t>
      </w:r>
    </w:p>
    <w:p>
      <w:pPr>
        <w:numPr>
          <w:ilvl w:val="0"/>
          <w:numId w:val="1001"/>
        </w:numPr>
        <w:pStyle w:val="Compact"/>
      </w:pPr>
      <w:r>
        <w:rPr>
          <w:bCs/>
          <w:b/>
        </w:rPr>
        <w:t xml:space="preserve">Regulatory Frameworks:</w:t>
      </w:r>
      <w:r>
        <w:t xml:space="preserve"> </w:t>
      </w:r>
      <w:r>
        <w:t xml:space="preserve">Architects must navigate complex zoning laws and building codes that prioritize safety and sustainability, as outlined by the Malaysian Institute of Architects (PAM, 2021).</w:t>
      </w:r>
    </w:p>
    <w:p>
      <w:pPr>
        <w:numPr>
          <w:ilvl w:val="0"/>
          <w:numId w:val="1001"/>
        </w:numPr>
        <w:pStyle w:val="Compact"/>
      </w:pPr>
      <w:r>
        <w:rPr>
          <w:bCs/>
          <w:b/>
        </w:rPr>
        <w:t xml:space="preserve">Cultural Sensitivity:</w:t>
      </w:r>
      <w:r>
        <w:t xml:space="preserve"> </w:t>
      </w:r>
      <w:r>
        <w:t xml:space="preserve">Balancing modernist ideals with indigenous design elements requires deep understanding of local customs, a challenge documented in studies by Ismail (2017).</w:t>
      </w:r>
    </w:p>
    <w:p>
      <w:pPr>
        <w:numPr>
          <w:ilvl w:val="0"/>
          <w:numId w:val="1001"/>
        </w:numPr>
        <w:pStyle w:val="Compact"/>
      </w:pPr>
      <w:r>
        <w:rPr>
          <w:bCs/>
          <w:b/>
        </w:rPr>
        <w:t xml:space="preserve">Economic Pressures:</w:t>
      </w:r>
      <w:r>
        <w:t xml:space="preserve"> </w:t>
      </w:r>
      <w:r>
        <w:t xml:space="preserve">High construction costs and client demands for rapid delivery often compromise creative freedom, as noted by Chong (2022).</w:t>
      </w:r>
    </w:p>
    <w:bookmarkEnd w:id="22"/>
    <w:bookmarkEnd w:id="23"/>
    <w:bookmarkStart w:id="25" w:name="sustainable-architecture-in-the-tropics"/>
    <w:p>
      <w:pPr>
        <w:pStyle w:val="Heading2"/>
      </w:pPr>
      <w:r>
        <w:t xml:space="preserve">Sustainable Architecture in the Tropics</w:t>
      </w:r>
    </w:p>
    <w:p>
      <w:pPr>
        <w:pStyle w:val="FirstParagraph"/>
      </w:pPr>
      <w:r>
        <w:t xml:space="preserve">Malaysia’s tropical climate has spurred innovation in passive design strategies. A review by Abdullah et al. (2019) highlights how architects in Kuala Lumpur employ cross-ventilation, shading devices, and reflective materials to mitigate urban heat island effects. Projects like the Green Building Index-certified Menara 1Malaysia demonstrate the city’s commitment to reducing carbon footprints through architectural solutions.</w:t>
      </w:r>
    </w:p>
    <w:bookmarkStart w:id="24" w:name="technological-advancements"/>
    <w:p>
      <w:pPr>
        <w:pStyle w:val="Heading3"/>
      </w:pPr>
      <w:r>
        <w:t xml:space="preserve">Technological Advancements</w:t>
      </w:r>
    </w:p>
    <w:p>
      <w:pPr>
        <w:pStyle w:val="FirstParagraph"/>
      </w:pPr>
      <w:r>
        <w:t xml:space="preserve">The adoption of BIM (Building Information Modeling) and parametric design tools has transformed how architects in Kuala Lumpur approach complex projects. According to a 2021 report by the Malaysian Government, over 70% of architectural firms now use digital modeling to optimize energy efficiency and structural integrity. This technological shift is particularly crucial in high-density urban environments where spatial constraints demand precision.</w:t>
      </w:r>
    </w:p>
    <w:bookmarkEnd w:id="24"/>
    <w:bookmarkEnd w:id="25"/>
    <w:bookmarkStart w:id="26" w:name="Xd04f10a1ab8ffa080ca6bb4dba5557c800b6fef"/>
    <w:p>
      <w:pPr>
        <w:pStyle w:val="Heading2"/>
      </w:pPr>
      <w:r>
        <w:t xml:space="preserve">Socio-Cultural Dimensions of Architectural Practice</w:t>
      </w:r>
    </w:p>
    <w:p>
      <w:pPr>
        <w:pStyle w:val="FirstParagraph"/>
      </w:pPr>
      <w:r>
        <w:t xml:space="preserve">Architects in Malaysia Kuala Lumpur must also address socio-cultural dynamics, such as multiculturalism and religious diversity. Research by Siti et al. (2016) reveals that architects frequently collaborate with communities to design spaces that accommodate diverse populations, from Islamic prayer rooms to Hindu temples. This inclusivity is vital in a city where over 30 ethnic groups coexist.</w:t>
      </w:r>
    </w:p>
    <w:bookmarkEnd w:id="26"/>
    <w:bookmarkStart w:id="27" w:name="future-directions-for-architects"/>
    <w:p>
      <w:pPr>
        <w:pStyle w:val="Heading2"/>
      </w:pPr>
      <w:r>
        <w:t xml:space="preserve">Future Directions for Architects</w:t>
      </w:r>
    </w:p>
    <w:p>
      <w:pPr>
        <w:pStyle w:val="FirstParagraph"/>
      </w:pPr>
      <w:r>
        <w:t xml:space="preserve">The future of architecture in Kuala Lumpur hinges on addressing climate change, urbanization, and digital transformation. A 2023 study by the United Nations Human Settlements Programme (UN-Habitat) underscores the need for architects to lead in creating resilient cities. Emerging trends include vertical gardens, smart infrastructure, and adaptive reuse of heritage buildings—a concept gaining traction through projects like the revitalization of Kuala Lumpur’s old town.</w:t>
      </w:r>
    </w:p>
    <w:bookmarkEnd w:id="27"/>
    <w:bookmarkStart w:id="28" w:name="conclusion"/>
    <w:p>
      <w:pPr>
        <w:pStyle w:val="Heading2"/>
      </w:pPr>
      <w:r>
        <w:t xml:space="preserve">Conclusion</w:t>
      </w:r>
    </w:p>
    <w:p>
      <w:pPr>
        <w:pStyle w:val="FirstParagraph"/>
      </w:pPr>
      <w:r>
        <w:t xml:space="preserve">In summary, the literature on architects in Malaysia Kuala Lumpur illustrates a profession at the crossroads of tradition and innovation. By synthesizing global best practices with local knowledge, architects play a pivotal role in shaping the city’s identity. Future research should focus on long-term impacts of sustainable design and how digital tools can democratize architectural creativity in this dynamic region.</w:t>
      </w:r>
    </w:p>
    <w:p>
      <w:pPr>
        <w:pStyle w:val="BodyText"/>
      </w:pPr>
      <w:r>
        <w:rPr>
          <w:iCs/>
          <w:i/>
        </w:rPr>
        <w:t xml:space="preserve">References:</w:t>
      </w:r>
    </w:p>
    <w:p>
      <w:pPr>
        <w:numPr>
          <w:ilvl w:val="0"/>
          <w:numId w:val="1002"/>
        </w:numPr>
        <w:pStyle w:val="Compact"/>
      </w:pPr>
      <w:r>
        <w:t xml:space="preserve">Tan, K. (2018). "Cultural Mediation in Malaysian Architecture." Journal of Southeast Asian Studies.</w:t>
      </w:r>
    </w:p>
    <w:p>
      <w:pPr>
        <w:numPr>
          <w:ilvl w:val="0"/>
          <w:numId w:val="1002"/>
        </w:numPr>
        <w:pStyle w:val="Compact"/>
      </w:pPr>
      <w:r>
        <w:t xml:space="preserve">Lim, S., et al. (2020). "Sustainable Design Practices in Tropical Cities." Environmental Research Letters.</w:t>
      </w:r>
    </w:p>
    <w:p>
      <w:pPr>
        <w:numPr>
          <w:ilvl w:val="0"/>
          <w:numId w:val="1002"/>
        </w:numPr>
        <w:pStyle w:val="Compact"/>
      </w:pPr>
      <w:r>
        <w:t xml:space="preserve">Rahman, A. (2019). "Urban Landmarks and Their Architectural Legacy." Malaysian Architectural Review.</w:t>
      </w:r>
    </w:p>
    <w:p>
      <w:pPr>
        <w:numPr>
          <w:ilvl w:val="0"/>
          <w:numId w:val="1002"/>
        </w:numPr>
        <w:pStyle w:val="Compact"/>
      </w:pPr>
      <w:r>
        <w:t xml:space="preserve">Malaysian Institute of Architects (PAM), 2021. "Regulatory Guidelines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Malaysia Kuala Lumpur</dc:title>
  <dc:creator/>
  <dc:language>en</dc:language>
  <cp:keywords/>
  <dcterms:created xsi:type="dcterms:W3CDTF">2026-07-23T20:57:37Z</dcterms:created>
  <dcterms:modified xsi:type="dcterms:W3CDTF">2026-07-23T20:57:37Z</dcterms:modified>
</cp:coreProperties>
</file>

<file path=docProps/custom.xml><?xml version="1.0" encoding="utf-8"?>
<Properties xmlns="http://schemas.openxmlformats.org/officeDocument/2006/custom-properties" xmlns:vt="http://schemas.openxmlformats.org/officeDocument/2006/docPropsVTypes"/>
</file>