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cbf6a6a9cfbf06fad7cf2d6e476418ab83ef770"/>
    <w:p>
      <w:pPr>
        <w:pStyle w:val="Heading1"/>
      </w:pPr>
      <w:r>
        <w:t xml:space="preserve">Literature Review on Auditors in Germany Frankfurt</w:t>
      </w:r>
    </w:p>
    <w:bookmarkStart w:id="20" w:name="introduction"/>
    <w:p>
      <w:pPr>
        <w:pStyle w:val="Heading2"/>
      </w:pPr>
      <w:r>
        <w:t xml:space="preserve">Introduction</w:t>
      </w:r>
    </w:p>
    <w:p>
      <w:pPr>
        <w:pStyle w:val="FirstParagraph"/>
      </w:pPr>
      <w:r>
        <w:t xml:space="preserve">The role of an auditor is critical in ensuring transparency, accountability, and compliance within financial systems. In the context of Germany Frankfurt, a global hub for finance and banking, auditors play a pivotal role in maintaining the integrity of corporate governance structures. This literature review explores the theoretical and practical dimensions of auditors operating in Germany Frankfurt, emphasizing their responsibilities under German law, the unique challenges they face in this financial epicenter, and their alignment with international auditing standards. The discussion is framed within the broader context of Germany’s regulatory landscape and Frankfurt’s significance as a European financial center.</w:t>
      </w:r>
    </w:p>
    <w:bookmarkEnd w:id="20"/>
    <w:bookmarkStart w:id="21" w:name="X9be54671bc41b043b1c316ae444290c1b9fdfc9"/>
    <w:p>
      <w:pPr>
        <w:pStyle w:val="Heading2"/>
      </w:pPr>
      <w:r>
        <w:t xml:space="preserve">Regulatory Framework for Auditors in Germany</w:t>
      </w:r>
    </w:p>
    <w:p>
      <w:pPr>
        <w:pStyle w:val="FirstParagraph"/>
      </w:pPr>
      <w:r>
        <w:t xml:space="preserve">In Germany, auditors are governed by the German Commercial Code (Handelsgesetzbuch, or HGB) and the Act on the Supervision of Financial Services Institutions (Wertpapierhandelsgesetz, or WpHG). These legal frameworks mandate that auditors adhere to strict guidelines when evaluating financial statements, ensuring compliance with both national and European Union (EU) regulations. The HGB requires annual audits for public companies, while the WpHG imposes additional requirements on auditors working with listed entities or financial institutions.</w:t>
      </w:r>
    </w:p>
    <w:p>
      <w:pPr>
        <w:pStyle w:val="BodyText"/>
      </w:pPr>
      <w:r>
        <w:t xml:space="preserve">Frankfurt, as the seat of the European Central Bank and a major stock exchange, amplifies the regulatory scrutiny on auditors. Auditors operating in Frankfurt must navigate complex legal environments that include adherence to International Financial Reporting Standards (IFRS), which are mandated for German firms listed on international markets. The German Institute of Certified Public Accountants (IDW) further provides guidance to ensure consistency in audit practices across the country.</w:t>
      </w:r>
    </w:p>
    <w:bookmarkEnd w:id="21"/>
    <w:bookmarkStart w:id="22" w:name="X27e324154eb52e41b72957b1abb14f1120678c3"/>
    <w:p>
      <w:pPr>
        <w:pStyle w:val="Heading2"/>
      </w:pPr>
      <w:r>
        <w:t xml:space="preserve">Auditor Roles and Responsibilities in Frankfurt’s Financial Sector</w:t>
      </w:r>
    </w:p>
    <w:p>
      <w:pPr>
        <w:pStyle w:val="FirstParagraph"/>
      </w:pPr>
      <w:r>
        <w:t xml:space="preserve">Auditors in Germany Frankfurt serve as guardians of financial integrity, ensuring that companies comply with statutory requirements while upholding investor confidence. Their primary responsibilities include examining financial statements for accuracy, detecting fraud or misrepresentation, and providing an independent opinion on the fairness of a company’s financial reporting. In Frankfurt’s dynamic financial sector, auditors are also tasked with assessing risk management frameworks and internal controls within banks, insurance firms, and multinational corporations.</w:t>
      </w:r>
    </w:p>
    <w:p>
      <w:pPr>
        <w:pStyle w:val="BodyText"/>
      </w:pPr>
      <w:r>
        <w:t xml:space="preserve">The role of auditors in Frankfurt is further complicated by the city’s status as a European banking hub. Auditors must ensure that financial institutions comply with Basel III regulations, anti-money laundering (AML) directives, and stringent capital adequacy requirements. Additionally, the rise of fintech companies in Frankfurt has introduced new challenges related to digital finance and cybersecurity compliance.</w:t>
      </w:r>
    </w:p>
    <w:bookmarkEnd w:id="22"/>
    <w:bookmarkStart w:id="23" w:name="X9ae697bf379bc0eb0b05dcc3f34e906b88a9b18"/>
    <w:p>
      <w:pPr>
        <w:pStyle w:val="Heading2"/>
      </w:pPr>
      <w:r>
        <w:t xml:space="preserve">Challenges Facing Auditors in Germany Frankfurt</w:t>
      </w:r>
    </w:p>
    <w:p>
      <w:pPr>
        <w:pStyle w:val="FirstParagraph"/>
      </w:pPr>
      <w:r>
        <w:t xml:space="preserve">Auditors operating in Germany Frankfurt encounter unique challenges stemming from the region’s financial complexity and regulatory rigor. One major challenge is the high volume of cross-border transactions, which requires auditors to reconcile differences between German accounting standards (HGB) and international frameworks such as IFRS or U.S. GAAP. This necessitates a deep understanding of both national and international regulations.</w:t>
      </w:r>
    </w:p>
    <w:p>
      <w:pPr>
        <w:pStyle w:val="BodyText"/>
      </w:pPr>
      <w:r>
        <w:t xml:space="preserve">Another challenge is the pressure to maintain independence in an environment where auditors often work with large multinational corporations that may have conflicting interests. The 2015 Volkswagen emissions scandal, which involved audit failures by KPMG, underscores the risks of compromised auditor independence and highlights the need for stringent ethical oversight.</w:t>
      </w:r>
    </w:p>
    <w:p>
      <w:pPr>
        <w:pStyle w:val="BodyText"/>
      </w:pPr>
      <w:r>
        <w:t xml:space="preserve">Additionally, auditors in Frankfurt must adapt to rapid technological advancements. The adoption of artificial intelligence (AI) and blockchain technology in financial reporting has introduced new complexities in data validation and audit trails. Ensuring compliance with Germany’s strict data protection laws, such as the General Data Protection Regulation (GDPR), further complicates these processes.</w:t>
      </w:r>
    </w:p>
    <w:bookmarkEnd w:id="23"/>
    <w:bookmarkStart w:id="24" w:name="Xee0b6db66e42d97a074900d68e9172395b22b69"/>
    <w:p>
      <w:pPr>
        <w:pStyle w:val="Heading2"/>
      </w:pPr>
      <w:r>
        <w:t xml:space="preserve">Auditor Qualifications and Training in Germany</w:t>
      </w:r>
    </w:p>
    <w:p>
      <w:pPr>
        <w:pStyle w:val="FirstParagraph"/>
      </w:pPr>
      <w:r>
        <w:t xml:space="preserve">In Germany, auditors are typically required to hold a degree in business administration, economics, or accounting. To qualify for public audit work, individuals must complete the German Certified Public Accountant (Diplom-Handelsprüfer) examination administered by the IDW. This rigorous process involves theoretical and practical training to ensure auditors are equipped to handle complex financial audits.</w:t>
      </w:r>
    </w:p>
    <w:p>
      <w:pPr>
        <w:pStyle w:val="BodyText"/>
      </w:pPr>
      <w:r>
        <w:t xml:space="preserve">Frankfurt’s concentration of financial institutions has created a demand for auditors with specialized expertise in banking and risk management. Many auditors in the region pursue additional certifications, such as the Certified Information Systems Auditor (CISA) or Chartered Financial Analyst (CFA), to remain competitive. Continuous professional development is also mandated by the IDW to ensure auditors stay updated on evolving regulations and technologies.</w:t>
      </w:r>
    </w:p>
    <w:bookmarkEnd w:id="24"/>
    <w:bookmarkStart w:id="25" w:name="case-studies-auditing-in-frankfurt"/>
    <w:p>
      <w:pPr>
        <w:pStyle w:val="Heading2"/>
      </w:pPr>
      <w:r>
        <w:t xml:space="preserve">Case Studies: Auditing in Frankfurt</w:t>
      </w:r>
    </w:p>
    <w:p>
      <w:pPr>
        <w:pStyle w:val="FirstParagraph"/>
      </w:pPr>
      <w:r>
        <w:t xml:space="preserve">A review of recent case studies in Frankfurt illustrates the practical implications of auditing in this region. For example, the 2017 audit of Deutsche Bank by PwC highlighted challenges related to the bank’s compliance with Basel III regulations and its exposure to non-performing loans. The audit report emphasized the need for stronger risk management practices within large financial institutions.</w:t>
      </w:r>
    </w:p>
    <w:p>
      <w:pPr>
        <w:pStyle w:val="BodyText"/>
      </w:pPr>
      <w:r>
        <w:t xml:space="preserve">Similarly, a 2020 study on auditors in Frankfurt’s insurance sector revealed gaps in the implementation of IFRS 15 (Revenue from Contracts with Customers), prompting regulatory calls for enhanced auditor training. These examples underscore the critical role of auditors in identifying systemic risks and ensuring compliance across industries.</w:t>
      </w:r>
    </w:p>
    <w:bookmarkEnd w:id="25"/>
    <w:bookmarkStart w:id="26" w:name="future-trends-and-implications"/>
    <w:p>
      <w:pPr>
        <w:pStyle w:val="Heading2"/>
      </w:pPr>
      <w:r>
        <w:t xml:space="preserve">Future Trends and Implications</w:t>
      </w:r>
    </w:p>
    <w:p>
      <w:pPr>
        <w:pStyle w:val="FirstParagraph"/>
      </w:pPr>
      <w:r>
        <w:t xml:space="preserve">The future of auditing in Germany Frankfurt will be shaped by technological innovation, evolving regulatory standards, and global economic shifts. The integration of AI into audit processes is expected to increase efficiency but may also raise concerns about data privacy and the potential for algorithmic bias. Additionally, the EU’s proposed Corporate Sustainability Reporting Directive (CSRD) will require auditors to assess environmental and social governance (ESG) metrics, adding new dimensions to their responsibilities.</w:t>
      </w:r>
    </w:p>
    <w:p>
      <w:pPr>
        <w:pStyle w:val="BodyText"/>
      </w:pPr>
      <w:r>
        <w:t xml:space="preserve">As Frankfurt continues to solidify its position as a European financial leader, auditors must remain adaptable. Their ability to navigate complex regulatory environments while leveraging technology will be crucial in maintaining the trust of investors and regulators alike.</w:t>
      </w:r>
    </w:p>
    <w:bookmarkEnd w:id="26"/>
    <w:bookmarkStart w:id="27" w:name="conclusion"/>
    <w:p>
      <w:pPr>
        <w:pStyle w:val="Heading2"/>
      </w:pPr>
      <w:r>
        <w:t xml:space="preserve">Conclusion</w:t>
      </w:r>
    </w:p>
    <w:p>
      <w:pPr>
        <w:pStyle w:val="FirstParagraph"/>
      </w:pPr>
      <w:r>
        <w:t xml:space="preserve">This literature review underscores the indispensable role of auditors in Germany Frankfurt’s financial ecosystem. By adhering to stringent regulations, addressing industry-specific challenges, and embracing technological advancements, auditors contribute to the stability and transparency of corporate governance. As Frankfurt evolves as a global financial center, the demand for skilled auditors who can navigate both national and international standards will only grow. Future research should focus on the long-term impact of emerging technologies on audit practices and the ethical considerations arising from increased regulatory scrutiny.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Germany Frankfurt</dc:title>
  <dc:creator/>
  <dc:language>en</dc:language>
  <cp:keywords/>
  <dcterms:created xsi:type="dcterms:W3CDTF">2026-07-21T06:04:03Z</dcterms:created>
  <dcterms:modified xsi:type="dcterms:W3CDTF">2026-07-21T06:04:03Z</dcterms:modified>
</cp:coreProperties>
</file>

<file path=docProps/custom.xml><?xml version="1.0" encoding="utf-8"?>
<Properties xmlns="http://schemas.openxmlformats.org/officeDocument/2006/custom-properties" xmlns:vt="http://schemas.openxmlformats.org/officeDocument/2006/docPropsVTypes"/>
</file>