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cb365010baebf8f80018321e01c4fcf9e946cb4"/>
    <w:p>
      <w:pPr>
        <w:pStyle w:val="Heading1"/>
      </w:pPr>
      <w:r>
        <w:t xml:space="preserve">Literature Review: The Role of Banker in China Guangzhou</w:t>
      </w:r>
    </w:p>
    <w:p>
      <w:pPr>
        <w:pStyle w:val="FirstParagraph"/>
      </w:pPr>
      <w:r>
        <w:t xml:space="preserve">A comprehensive literature review on the subject of “Banker” within the context of “China Guangzhou” reveals critical insights into how banking professionals, institutions, and practices shape economic development and financial stability in one of China’s most dynamic cities. This review synthesizes academic studies, industry reports, and policy analyses to explore the multifaceted role of bankers in Guangzhou’s evolving financial landscape. The interplay between local economic policies, global market trends, and technological advancements underscores the significance of this topic for both scholarly discourse and practical application in China’s financial sector.</w:t>
      </w:r>
    </w:p>
    <w:bookmarkStart w:id="20" w:name="X1bdb6937954f142e2c8036343c16a8f948c9f11"/>
    <w:p>
      <w:pPr>
        <w:pStyle w:val="Heading2"/>
      </w:pPr>
      <w:r>
        <w:t xml:space="preserve">1. Introduction: The Significance of Banker in China Guangzhou</w:t>
      </w:r>
    </w:p>
    <w:p>
      <w:pPr>
        <w:pStyle w:val="FirstParagraph"/>
      </w:pPr>
      <w:r>
        <w:t xml:space="preserve">Guangzhou, a key city in South China’s Pearl River Delta, has long been a hub for trade, manufacturing, and financial services. As one of the country’s earliest cities to open up to foreign investment and modern banking practices during the economic reforms of 1978–1980s, Guangzhou established itself as a critical node in China’s financial network. The term “Banker,” central to this review, refers not only to individual professionals but also to the collective role of banks and financial institutions in facilitating economic growth, managing risks, and fostering innovation. Recent literature emphasizes how the interplay between traditional banking systems and emerging fintech solutions has transformed the responsibilities of bankers in Guangzhou.</w:t>
      </w:r>
    </w:p>
    <w:bookmarkEnd w:id="20"/>
    <w:bookmarkStart w:id="21" w:name="X2548d9905111f5876f440a6f12745e3ecdcd96c"/>
    <w:p>
      <w:pPr>
        <w:pStyle w:val="Heading2"/>
      </w:pPr>
      <w:r>
        <w:t xml:space="preserve">2. Historical Context: Banking Evolution in Guangzhou</w:t>
      </w:r>
    </w:p>
    <w:p>
      <w:pPr>
        <w:pStyle w:val="FirstParagraph"/>
      </w:pPr>
      <w:r>
        <w:t xml:space="preserve">Historically, banking in China was dominated by state-owned institutions until the late 1990s, when market reforms introduced competition and foreign participation. According to Wang (2015), Guangzhou’s banking sector emerged as a testing ground for these reforms, with the establishment of joint-stock banks like Guangdong Development Bank (now China Everbright Bank). These developments redefined the role of bankers in Guangzhou, shifting their focus from state-directed credit allocation to risk management and customer-centric services.</w:t>
      </w:r>
    </w:p>
    <w:p>
      <w:pPr>
        <w:pStyle w:val="BodyText"/>
      </w:pPr>
      <w:r>
        <w:t xml:space="preserve">Literature by Li and Zhao (2018) highlights that post-2008 financial crisis, Guangzhou’s bankers faced heightened regulatory scrutiny. The Chinese government’s emphasis on financial stability led to stricter capital adequacy requirements, compelling local banks to adopt advanced risk assessment models. This period also saw the rise of “shadow banking” in Guangzhou, a phenomenon analyzed by Zhang (2019) as both a challenge and an opportunity for traditional bankers seeking to innovate.</w:t>
      </w:r>
    </w:p>
    <w:bookmarkEnd w:id="21"/>
    <w:bookmarkStart w:id="22" w:name="X6e2cfe188d1cf59ab9eaba6810e7df2a89548bc"/>
    <w:p>
      <w:pPr>
        <w:pStyle w:val="Heading2"/>
      </w:pPr>
      <w:r>
        <w:t xml:space="preserve">3. The Modern Role of Banker: Innovation and Challenges</w:t>
      </w:r>
    </w:p>
    <w:p>
      <w:pPr>
        <w:pStyle w:val="FirstParagraph"/>
      </w:pPr>
      <w:r>
        <w:t xml:space="preserve">In recent years, the role of bankers in Guangzhou has expanded beyond conventional lending to include digital transformation, cross-border financial services, and ESG (Environmental, Social, Governance) integration. According to a 2021 report by the Guangdong Provincial Banking and Insurance Regulatory Bureau, over 70% of banks in Guangzhou have implemented AI-driven customer service systems. This shift is documented in studies like Chen et al. (2020), which argue that modern bankers must now balance technological adoption with maintaining trust through ethical practices.</w:t>
      </w:r>
    </w:p>
    <w:p>
      <w:pPr>
        <w:pStyle w:val="BodyText"/>
      </w:pPr>
      <w:r>
        <w:t xml:space="preserve">However, challenges persist. The rapid growth of fintech firms like Ant Group and Tencent has disrupted traditional banking models, forcing Guangzhou’s bankers to compete with platforms offering instant loans and digital wallets. As noted by Huang (2021), this competition has intensified the need for bankers to upskill in areas such as blockchain technology and data analytics. Additionally, the Chinese government’s push for financial inclusion—aimed at serving rural communities—has required bankers in Guangzhou to adapt their strategies to serve a broader demographic.</w:t>
      </w:r>
    </w:p>
    <w:bookmarkEnd w:id="22"/>
    <w:bookmarkStart w:id="23" w:name="X8ec53de271472adbcca8b8db29c3d655a77fbd4"/>
    <w:p>
      <w:pPr>
        <w:pStyle w:val="Heading2"/>
      </w:pPr>
      <w:r>
        <w:t xml:space="preserve">4. Policy Frameworks and Regulatory Environment</w:t>
      </w:r>
    </w:p>
    <w:p>
      <w:pPr>
        <w:pStyle w:val="FirstParagraph"/>
      </w:pPr>
      <w:r>
        <w:t xml:space="preserve">The regulatory environment in Guangzhou plays a pivotal role in shaping the activities of bankers. The People’s Bank of China (PBOC) has introduced measures such as the “Basel III” capital standards, which have been adapted to local conditions. Research by Liu (2017) highlights how these regulations have influenced the lending practices of Guangzhou-based banks, prioritizing transparency and systemic risk mitigation.</w:t>
      </w:r>
    </w:p>
    <w:p>
      <w:pPr>
        <w:pStyle w:val="BodyText"/>
      </w:pPr>
      <w:r>
        <w:t xml:space="preserve">Furthermore, Guangzhou’s status as a pilot city for financial innovation has led to policies supporting the development of green finance. For instance, the “Guangzhou Green Finance Development Plan (2021–2025)” encourages bankers to invest in sustainable projects. This aligns with global trends but also reflects China’s commitment to achieving carbon neutrality by 2060, as noted in a study by the Guangzhou Academy of Financial Studies (2021).</w:t>
      </w:r>
    </w:p>
    <w:bookmarkEnd w:id="23"/>
    <w:bookmarkStart w:id="24" w:name="Xfbdd647a1f421994ee55d4a167d8cf67586795f"/>
    <w:p>
      <w:pPr>
        <w:pStyle w:val="Heading2"/>
      </w:pPr>
      <w:r>
        <w:t xml:space="preserve">5. Case Studies: Banker Contributions to Guangzhou’s Economy</w:t>
      </w:r>
    </w:p>
    <w:p>
      <w:pPr>
        <w:pStyle w:val="FirstParagraph"/>
      </w:pPr>
      <w:r>
        <w:t xml:space="preserve">Cases such as the role of Industrial and Commercial Bank of China (ICBC) and China Construction Bank (CCB) in Guangzhou illustrate how bankers contribute to regional development. ICBC’s support for the Canton Fair, a global trade event, has been analyzed by Song (2019) as a prime example of bankers facilitating international commerce. Similarly, CCB’s investment in infrastructure projects like the Guangzhou-Zhuhai Intercity Railway underscores the critical role of bankers in financing public works.</w:t>
      </w:r>
    </w:p>
    <w:p>
      <w:pPr>
        <w:pStyle w:val="BodyText"/>
      </w:pPr>
      <w:r>
        <w:t xml:space="preserve">Studies on microfinance banks in Guangzhou’s rural areas reveal how bankers have adapted to serve underserved populations. For example, Rural Commercial Banks (RCBs) have partnered with local governments to provide low-interest loans for small businesses, a strategy praised by Zhao and Li (2020) for its dual impact on economic growth and social equity.</w:t>
      </w:r>
    </w:p>
    <w:bookmarkEnd w:id="24"/>
    <w:bookmarkStart w:id="25" w:name="X4d7235c3fdf0b91996bdb14c60e20172dcd0bb2"/>
    <w:p>
      <w:pPr>
        <w:pStyle w:val="Heading2"/>
      </w:pPr>
      <w:r>
        <w:t xml:space="preserve">6. Future Directions: The Banker in a Globalized China</w:t>
      </w:r>
    </w:p>
    <w:p>
      <w:pPr>
        <w:pStyle w:val="FirstParagraph"/>
      </w:pPr>
      <w:r>
        <w:t xml:space="preserve">Looking ahead, literature suggests that the role of bankers in Guangzhou will be shaped by global trends such as the rise of digital currencies and cross-border financial integration. The Chinese government’s “Dual Circulation” strategy, which emphasizes domestic consumption while maintaining international trade links, will likely require bankers to manage both local and global risks. As noted by Wu (2022), this dual focus presents opportunities for innovation but also demands heightened regulatory vigilance.</w:t>
      </w:r>
    </w:p>
    <w:p>
      <w:pPr>
        <w:pStyle w:val="BodyText"/>
      </w:pPr>
      <w:r>
        <w:t xml:space="preserve">Moreover, the ongoing geopolitical tensions between China and Western economies may influence how Guangzhou’s bankers approach international partnerships. Studies by the Guangdong Institute of Financial Policy (2023) predict a shift toward regional cooperation within ASEAN, with bankers in Guangzhou playing a pivotal role in establishing financial corridors across South and Southeast Asia.</w:t>
      </w:r>
    </w:p>
    <w:bookmarkEnd w:id="25"/>
    <w:bookmarkStart w:id="26" w:name="conclusion"/>
    <w:p>
      <w:pPr>
        <w:pStyle w:val="Heading2"/>
      </w:pPr>
      <w:r>
        <w:t xml:space="preserve">7. Conclusion</w:t>
      </w:r>
    </w:p>
    <w:p>
      <w:pPr>
        <w:pStyle w:val="FirstParagraph"/>
      </w:pPr>
      <w:r>
        <w:t xml:space="preserve">This literature review demonstrates that the concept of “Banker” is central to understanding the economic trajectory of China Guangzhou. From historical reforms to modern fintech disruptions, bankers have consistently adapted their roles to meet evolving challenges and opportunities. As Guangzhou continues to grow as a financial center, the interplay between policy, technology, and global markets will shape the future of banking in this dynamic city. Future research should further explore the ethical implications of digital transformation and the long-term impacts of sustainability initiatives on local economies.</w:t>
      </w:r>
    </w:p>
    <w:p>
      <w:pPr>
        <w:pStyle w:val="BodyText"/>
      </w:pPr>
      <w:r>
        <w:t xml:space="preserve">By synthesizing existing studies and emphasizing regional specificity, this review underscores the importance of contextualizing banking practices within China Guangzhou’s unique socio-economic framework. It serves as a foundational resource for scholars, policymakers, and practitioners navigating the complexities of modern finance in one of China’s most influential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China Guangzhou</dc:title>
  <dc:creator/>
  <dc:language>en</dc:language>
  <cp:keywords/>
  <dcterms:created xsi:type="dcterms:W3CDTF">2026-07-24T14:41:24Z</dcterms:created>
  <dcterms:modified xsi:type="dcterms:W3CDTF">2026-07-24T14:41:24Z</dcterms:modified>
</cp:coreProperties>
</file>

<file path=docProps/custom.xml><?xml version="1.0" encoding="utf-8"?>
<Properties xmlns="http://schemas.openxmlformats.org/officeDocument/2006/custom-properties" xmlns:vt="http://schemas.openxmlformats.org/officeDocument/2006/docPropsVTypes"/>
</file>