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Banker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fb8328e1f7234c6291d741f1f937ff07dd11ca7"/>
    <w:p>
      <w:pPr>
        <w:pStyle w:val="Heading1"/>
      </w:pPr>
      <w:r>
        <w:t xml:space="preserve">Literature Review: The Role of a Banker in Colombia Medellín</w:t>
      </w:r>
    </w:p>
    <w:p>
      <w:pPr>
        <w:pStyle w:val="FirstParagraph"/>
      </w:pPr>
      <w:r>
        <w:t xml:space="preserve">A</w:t>
      </w:r>
      <w:r>
        <w:t xml:space="preserve"> </w:t>
      </w:r>
      <w:r>
        <w:rPr>
          <w:bCs/>
          <w:b/>
        </w:rPr>
        <w:t xml:space="preserve">literature review</w:t>
      </w:r>
      <w:r>
        <w:t xml:space="preserve"> </w:t>
      </w:r>
      <w:r>
        <w:t xml:space="preserve">serves as a critical synthesis of existing research on a specific topic, providing insights into gaps, trends, and future directions. This document explores the evolving role of the term "Banker" within the context of Colombia Medellín—a city that has undergone significant economic and social transformation over the past decades. By examining academic studies, industry reports, and socio-economic analyses, this review highlights how banking practices in Medellín reflect broader challenges and opportunities in Colombia’s financial sector.</w:t>
      </w:r>
    </w:p>
    <w:bookmarkStart w:id="20" w:name="the-concept-of-banker-in-global-context"/>
    <w:p>
      <w:pPr>
        <w:pStyle w:val="Heading2"/>
      </w:pPr>
      <w:r>
        <w:t xml:space="preserve">The Concept of "Banker" in Global Context</w:t>
      </w:r>
    </w:p>
    <w:p>
      <w:pPr>
        <w:pStyle w:val="FirstParagraph"/>
      </w:pPr>
      <w:r>
        <w:t xml:space="preserve">The term "banker" traditionally refers to professionals who manage financial institutions, offer services such as lending, investing, and advising clients. However, the role of a banker has expanded beyond traditional banking to include digital innovation, financial inclusion initiatives, and ethical governance. In academic literature (e.g., Smith &amp; García 2018; López et al., 2021), the modern banker is often described as a mediator between individuals and complex financial systems, tasked with balancing profitability with social responsibility.</w:t>
      </w:r>
    </w:p>
    <w:p>
      <w:pPr>
        <w:pStyle w:val="BodyText"/>
      </w:pPr>
      <w:r>
        <w:t xml:space="preserve">In regions like Latin America, where economic inequality and informal economies remain prevalent, the banker’s role has taken on added significance. Studies by the Inter-American Development Bank (IDB) emphasize that bankers in developing economies must navigate cultural nuances, regulatory frameworks, and technological gaps to serve diverse populations effectively.</w:t>
      </w:r>
    </w:p>
    <w:bookmarkEnd w:id="20"/>
    <w:bookmarkStart w:id="21" w:name="X3c00a184956576611ad0e624ec228e872a4ca51"/>
    <w:p>
      <w:pPr>
        <w:pStyle w:val="Heading2"/>
      </w:pPr>
      <w:r>
        <w:t xml:space="preserve">Banking in Colombia Medellín: A Unique Context</w:t>
      </w:r>
    </w:p>
    <w:p>
      <w:pPr>
        <w:pStyle w:val="FirstParagraph"/>
      </w:pPr>
      <w:r>
        <w:rPr>
          <w:bCs/>
          <w:b/>
        </w:rPr>
        <w:t xml:space="preserve">Colombia Medellín</w:t>
      </w:r>
      <w:r>
        <w:t xml:space="preserve"> </w:t>
      </w:r>
      <w:r>
        <w:t xml:space="preserve">presents a unique case study for analyzing the role of a banker. As the second-largest city in Colombia and a hub of innovation, industry, and culture, Medellín has experienced rapid urbanization and economic diversification. However, challenges such as income inequality, limited access to financial services in marginalized neighborhoods (e.g., Comuna 13), and historical issues with illicit economies have shaped the banking landscape.</w:t>
      </w:r>
    </w:p>
    <w:p>
      <w:pPr>
        <w:pStyle w:val="BodyText"/>
      </w:pPr>
      <w:r>
        <w:t xml:space="preserve">Research by the Banco de la República (Colombian Central Bank) indicates that Medellín has a higher rate of informal employment compared to other Colombian cities. This reality underscores the need for bankers in Medellín to prioritize financial inclusion, offering products tailored to low-income populations while complying with national regulations like Law 1610 of 2013, which mandates financial accessibility.</w:t>
      </w:r>
    </w:p>
    <w:p>
      <w:pPr>
        <w:pStyle w:val="BodyText"/>
      </w:pPr>
      <w:r>
        <w:t xml:space="preserve">Moreover, Medellín’s status as a technology and innovation center has influenced the role of bankers. A study by Universidad de Antioquia (2022) notes that digital banking platforms in Medellín are increasingly popular, driven by younger demographics and the city’s high internet penetration rate. This shift has prompted bankers to adopt fintech solutions, such as mobile wallets and blockchain-based services, to remain competitive.</w:t>
      </w:r>
    </w:p>
    <w:bookmarkEnd w:id="21"/>
    <w:bookmarkStart w:id="22" w:name="Xc4253ad4859fae69e3247a9316f15c3a464d598"/>
    <w:p>
      <w:pPr>
        <w:pStyle w:val="Heading2"/>
      </w:pPr>
      <w:r>
        <w:t xml:space="preserve">Challenges Faced by Bankers in Colombia Medellín</w:t>
      </w:r>
    </w:p>
    <w:p>
      <w:pPr>
        <w:pStyle w:val="FirstParagraph"/>
      </w:pPr>
      <w:r>
        <w:t xml:space="preserve">Despite its progress, Colombia Medellín poses unique challenges for bankers. One major issue is the digital divide: while affluent areas benefit from advanced banking technologies, lower-income communities often lack access to reliable internet or smartphones. A report by CEPAL (2021) highlights this disparity, noting that 35% of Medellín’s population still relies on traditional banking methods.</w:t>
      </w:r>
    </w:p>
    <w:p>
      <w:pPr>
        <w:pStyle w:val="BodyText"/>
      </w:pPr>
      <w:r>
        <w:t xml:space="preserve">Another challenge is the legacy of Colombia’s armed conflict. According to the UNDP (2019), regions like Antioquia, where Medellín is located, have experienced long-term economic disruptions linked to violence. Bankers in Medellín must address this history by fostering trust through transparent practices and community-focused initiatives.</w:t>
      </w:r>
    </w:p>
    <w:p>
      <w:pPr>
        <w:pStyle w:val="BodyText"/>
      </w:pPr>
      <w:r>
        <w:t xml:space="preserve">Additionally, regulatory compliance in Colombia has grown more complex. The 2017 Ley Estatutaria de la Banca (Banking Statute) introduced stricter requirements for anti-money laundering (AML) and customer due diligence, placing added pressure on Medellín’s bankers to balance efficiency with legal adherence.</w:t>
      </w:r>
    </w:p>
    <w:bookmarkEnd w:id="22"/>
    <w:bookmarkStart w:id="23" w:name="X997f22bf5a77971324e046a4640daa91cb1812a"/>
    <w:p>
      <w:pPr>
        <w:pStyle w:val="Heading2"/>
      </w:pPr>
      <w:r>
        <w:t xml:space="preserve">Opportunities for Bankers in Colombia Medellín</w:t>
      </w:r>
    </w:p>
    <w:p>
      <w:pPr>
        <w:pStyle w:val="FirstParagraph"/>
      </w:pPr>
      <w:r>
        <w:t xml:space="preserve">Despite these challenges, Colombia Medellín offers significant opportunities for innovation. The city’s commitment to sustainability and social equity has led to the rise of impact banking—a model where financial institutions prioritize environmental and social goals alongside profit. For instance, Banco de Occidente has launched microloans in Medellín’s informal sectors, enabling entrepreneurs in underserved areas to access capital.</w:t>
      </w:r>
    </w:p>
    <w:p>
      <w:pPr>
        <w:pStyle w:val="BodyText"/>
      </w:pPr>
      <w:r>
        <w:t xml:space="preserve">Furthermore, Medellín’s educational institutions, such as the Universidad Pontificia Bolivariana and EAFIT University, have partnered with banks to develop training programs for future bankers. These programs emphasize digital literacy, ethical leadership, and cross-cultural communication—skills critical for navigating Medellín’s diverse population.</w:t>
      </w:r>
    </w:p>
    <w:p>
      <w:pPr>
        <w:pStyle w:val="BodyText"/>
      </w:pPr>
      <w:r>
        <w:t xml:space="preserve">The city’s growing fintech ecosystem also presents opportunities. Startups like PayU and Banco W have introduced mobile-first banking solutions that cater to Medellín’s tech-savvy youth. Bankers in the region are increasingly collaborating with these firms to integrate digital tools into traditional banking services, enhancing convenience and accessibility.</w:t>
      </w:r>
    </w:p>
    <w:bookmarkEnd w:id="23"/>
    <w:bookmarkStart w:id="24" w:name="critical-analysis-and-future-directions"/>
    <w:p>
      <w:pPr>
        <w:pStyle w:val="Heading2"/>
      </w:pPr>
      <w:r>
        <w:t xml:space="preserve">Critical Analysis and Future Directions</w:t>
      </w:r>
    </w:p>
    <w:p>
      <w:pPr>
        <w:pStyle w:val="FirstParagraph"/>
      </w:pPr>
      <w:r>
        <w:t xml:space="preserve">While existing literature highlights the evolving role of bankers in Medellín, several gaps remain. Most studies focus on macroeconomic trends rather than grassroots banking practices. For example, there is limited research on how informal economies in Medellín interact with formal banking systems or the long-term impact of fintech adoption on financial inclusion.</w:t>
      </w:r>
    </w:p>
    <w:p>
      <w:pPr>
        <w:pStyle w:val="BodyText"/>
      </w:pPr>
      <w:r>
        <w:t xml:space="preserve">Future research should also explore the cultural dimensions of banking in Medellín. As noted by Rivera (2023), traditional attitudes toward money and risk management among older generations may influence their engagement with digital banking services. Understanding these dynamics could help bankers design more culturally responsive strategies.</w:t>
      </w:r>
    </w:p>
    <w:p>
      <w:pPr>
        <w:pStyle w:val="BodyText"/>
      </w:pPr>
      <w:r>
        <w:t xml:space="preserve">Additionally, the literature review underscores the need for interdisciplinary collaboration between economists, technologists, and sociologists to address Medellín’s complex financial landscape. Policymakers and private sector actors must work together to ensure that banking innovations align with the city’s social and economic priorities.</w:t>
      </w:r>
    </w:p>
    <w:bookmarkEnd w:id="24"/>
    <w:bookmarkStart w:id="25" w:name="conclusion"/>
    <w:p>
      <w:pPr>
        <w:pStyle w:val="Heading2"/>
      </w:pPr>
      <w:r>
        <w:t xml:space="preserve">Conclusion</w:t>
      </w:r>
    </w:p>
    <w:p>
      <w:pPr>
        <w:pStyle w:val="FirstParagraph"/>
      </w:pPr>
      <w:r>
        <w:t xml:space="preserve">This literature review demonstrates that the role of a banker in Colombia Medellín is multifaceted, requiring adaptability, innovation, and a deep understanding of local contexts. As Medellín continues to evolve as an economic and technological leader in Colombia, bankers must navigate challenges such as financial inclusion gaps and regulatory complexity while seizing opportunities through fintech integration and community-focused initiatives. By synthesizing global insights with Medellín-specific realities, this review provides a foundation for further research and practical strategies to strengthen the city’s banking ecosystem.</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 Banker in Colombia Medellín</dc:title>
  <dc:creator/>
  <dc:language>en</dc:language>
  <cp:keywords/>
  <dcterms:created xsi:type="dcterms:W3CDTF">2026-07-24T15:43:42Z</dcterms:created>
  <dcterms:modified xsi:type="dcterms:W3CDTF">2026-07-24T15:43:42Z</dcterms:modified>
</cp:coreProperties>
</file>

<file path=docProps/custom.xml><?xml version="1.0" encoding="utf-8"?>
<Properties xmlns="http://schemas.openxmlformats.org/officeDocument/2006/custom-properties" xmlns:vt="http://schemas.openxmlformats.org/officeDocument/2006/docPropsVTypes"/>
</file>