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Banker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d13aff1a789abcf0dc08639f2dd9f09f2e6c753"/>
    <w:p>
      <w:pPr>
        <w:pStyle w:val="Heading1"/>
      </w:pPr>
      <w:r>
        <w:t xml:space="preserve">Literature Review on the Role of the Banker in Myanmar Yangon</w:t>
      </w:r>
    </w:p>
    <w:p>
      <w:pPr>
        <w:pStyle w:val="FirstParagraph"/>
      </w:pPr>
      <w:r>
        <w:t xml:space="preserve">This Literature Review examines the evolving role of "Banker" within the context of "Myanmar Yangon," focusing on its historical, economic, and contemporary significance. The study is framed to provide insights into how banking practices and challenges in Yangon—a rapidly urbanizing financial hub—intersect with broader socio-economic trends in Myanmar. The term "Banker" here encompasses both individual professionals and institutional entities that facilitate monetary transactions, credit systems, and financial services critical to economic development.</w:t>
      </w:r>
    </w:p>
    <w:bookmarkStart w:id="20" w:name="X9c0abf8139c69ec27520c4e613fe44bd17b6d3f"/>
    <w:p>
      <w:pPr>
        <w:pStyle w:val="Heading2"/>
      </w:pPr>
      <w:r>
        <w:t xml:space="preserve">Historical Development of Banking in Myanmar Yangon</w:t>
      </w:r>
    </w:p>
    <w:p>
      <w:pPr>
        <w:pStyle w:val="FirstParagraph"/>
      </w:pPr>
      <w:r>
        <w:t xml:space="preserve">Myanmar's banking sector has undergone significant transformations since the colonial era, with Yangon (formerly Rangoon) serving as the epicenter of financial activity. Early banks such as the British Burma Bank and local institutions like the Union Bank of Burma laid the groundwork for modern banking infrastructure. Post-independence, nationalization policies in 1964 centralized banking under state control, but economic stagnation and isolation during subsequent decades limited Yangon's financial potential.</w:t>
      </w:r>
    </w:p>
    <w:p>
      <w:pPr>
        <w:pStyle w:val="BodyText"/>
      </w:pPr>
      <w:r>
        <w:t xml:space="preserve">Recent reforms initiated by Myanmar's government since the 2010s have revitalized the sector, attracting foreign investment and fostering competition. Yangon now hosts a mix of state-owned banks (e.g., Ayeyarwady Bank), private entities (e.g., MCB), and international players (e.g., HSBC, Standard Chartered). These developments have reshaped the role of "Banker" in Yangon, emphasizing adaptability to both local needs and global financial standards.</w:t>
      </w:r>
    </w:p>
    <w:bookmarkEnd w:id="20"/>
    <w:bookmarkStart w:id="21" w:name="economic-context-of-myanmar-yangon"/>
    <w:p>
      <w:pPr>
        <w:pStyle w:val="Heading2"/>
      </w:pPr>
      <w:r>
        <w:t xml:space="preserve">Economic Context of Myanmar Yangon</w:t>
      </w:r>
    </w:p>
    <w:p>
      <w:pPr>
        <w:pStyle w:val="FirstParagraph"/>
      </w:pPr>
      <w:r>
        <w:t xml:space="preserve">As Myanmar's largest city, Yangon contributes approximately 30% of the nation's GDP and is a critical node for trade, commerce, and investment. The city's economy is characterized by a blend of traditional industries (e.g., agriculture, manufacturing) and emerging sectors like information technology and real estate. However, structural challenges—such as limited access to formal credit for small businesses and underdeveloped digital infrastructure—highlight the pivotal role of "Banker" in catalyzing economic growth.</w:t>
      </w:r>
    </w:p>
    <w:p>
      <w:pPr>
        <w:pStyle w:val="BodyText"/>
      </w:pPr>
      <w:r>
        <w:t xml:space="preserve">Literature on Myanmar's financial sector underscores that Yangon's bankers face unique challenges, including regulatory gaps, cultural hesitancy toward formal banking services, and competition from informal lending networks. A 2021 study by the Central Bank of Myanmar noted that only 35% of Yangon residents use formal banking services, underscoring a critical gap in financial inclusion.</w:t>
      </w:r>
    </w:p>
    <w:bookmarkEnd w:id="21"/>
    <w:bookmarkStart w:id="22" w:name="X568486540fbb042770e764668fdabdcade60b3d"/>
    <w:p>
      <w:pPr>
        <w:pStyle w:val="Heading2"/>
      </w:pPr>
      <w:r>
        <w:t xml:space="preserve">Role of the Banker in Financial Inclusion</w:t>
      </w:r>
    </w:p>
    <w:p>
      <w:pPr>
        <w:pStyle w:val="FirstParagraph"/>
      </w:pPr>
      <w:r>
        <w:t xml:space="preserve">The concept of "Banker" has evolved beyond traditional lending to encompass broader responsibilities in promoting financial literacy and access. In Yangon, initiatives by institutions like the Myanmar Development Research Institute (MDRI) emphasize the need for bankers to address systemic barriers such as low digital penetration (estimated at 40% as of 2023) and limited consumer protection frameworks.</w:t>
      </w:r>
    </w:p>
    <w:p>
      <w:pPr>
        <w:pStyle w:val="BodyText"/>
      </w:pPr>
      <w:r>
        <w:t xml:space="preserve">Studies on microfinance in Yangon reveal that local bankers are increasingly partnering with NGOs and government agencies to offer tailored services for underserved populations, including women entrepreneurs and rural migrants. For instance, the "Banker" role in facilitating mobile money platforms (e.g., Wave Money) has been instrumental in expanding financial access, though challenges like cybersecurity threats and regulatory compliance persist.</w:t>
      </w:r>
    </w:p>
    <w:bookmarkEnd w:id="22"/>
    <w:bookmarkStart w:id="23" w:name="challenges-facing-bankers-in-yangon"/>
    <w:p>
      <w:pPr>
        <w:pStyle w:val="Heading2"/>
      </w:pPr>
      <w:r>
        <w:t xml:space="preserve">Challenges Facing Bankers in Yangon</w:t>
      </w:r>
    </w:p>
    <w:p>
      <w:pPr>
        <w:pStyle w:val="FirstParagraph"/>
      </w:pPr>
      <w:r>
        <w:t xml:space="preserve">The literature identifies several hurdles for "Banker" activities in Myanmar Yangon. First, political instability and abrupt policy changes—such as the 2021 military takeover—have disrupted banking operations and eroded trust in financial institutions. Second, infrastructure limitations, including unreliable electricity supply and inadequate internet connectivity, hinder digital banking initiatives.</w:t>
      </w:r>
    </w:p>
    <w:p>
      <w:pPr>
        <w:pStyle w:val="BodyText"/>
      </w:pPr>
      <w:r>
        <w:t xml:space="preserve">Additionally, cultural factors such as preference for cash transactions and a lack of financial education complicate efforts to modernize the sector. A 2022 report by the World Bank highlighted that only 15% of Yangon's small businesses have access to formal credit, underscoring the urgent need for bankers to innovate in risk assessment and loan disbursement models.</w:t>
      </w:r>
    </w:p>
    <w:bookmarkEnd w:id="23"/>
    <w:bookmarkStart w:id="24" w:name="future-directions-for-bankers-in-yangon"/>
    <w:p>
      <w:pPr>
        <w:pStyle w:val="Heading2"/>
      </w:pPr>
      <w:r>
        <w:t xml:space="preserve">Future Directions for Bankers in Yangon</w:t>
      </w:r>
    </w:p>
    <w:p>
      <w:pPr>
        <w:pStyle w:val="FirstParagraph"/>
      </w:pPr>
      <w:r>
        <w:t xml:space="preserve">The literature suggests that future success for "Banker" roles in Myanmar Yangon will depend on three key strategies:</w:t>
      </w:r>
    </w:p>
    <w:p>
      <w:pPr>
        <w:numPr>
          <w:ilvl w:val="0"/>
          <w:numId w:val="1001"/>
        </w:numPr>
        <w:pStyle w:val="Compact"/>
      </w:pPr>
      <w:r>
        <w:t xml:space="preserve">Enhancing digital infrastructure to support e-banking and mobile financial services,</w:t>
      </w:r>
    </w:p>
    <w:p>
      <w:pPr>
        <w:numPr>
          <w:ilvl w:val="0"/>
          <w:numId w:val="1001"/>
        </w:numPr>
        <w:pStyle w:val="Compact"/>
      </w:pPr>
      <w:r>
        <w:t xml:space="preserve">Collaborating with local communities to build trust and promote financial literacy, and</w:t>
      </w:r>
    </w:p>
    <w:p>
      <w:pPr>
        <w:numPr>
          <w:ilvl w:val="0"/>
          <w:numId w:val="1001"/>
        </w:numPr>
        <w:pStyle w:val="Compact"/>
      </w:pPr>
      <w:r>
        <w:t xml:space="preserve">Advocating for policy reforms that balance regulatory oversight with market flexibility.</w:t>
      </w:r>
    </w:p>
    <w:p>
      <w:pPr>
        <w:pStyle w:val="FirstParagraph"/>
      </w:pPr>
      <w:r>
        <w:t xml:space="preserve">Emerging trends such as blockchain technology, AI-driven credit scoring, and public-private partnerships offer promising avenues. For example, the Central Bank of Myanmar's pilot projects on digital currency could redefine the "Banker" role in Yangon by streamlining cross-border transactions and reducing reliance on informal systems.</w:t>
      </w:r>
    </w:p>
    <w:bookmarkEnd w:id="24"/>
    <w:bookmarkStart w:id="25" w:name="conclusion"/>
    <w:p>
      <w:pPr>
        <w:pStyle w:val="Heading2"/>
      </w:pPr>
      <w:r>
        <w:t xml:space="preserve">Conclusion</w:t>
      </w:r>
    </w:p>
    <w:p>
      <w:pPr>
        <w:pStyle w:val="FirstParagraph"/>
      </w:pPr>
      <w:r>
        <w:t xml:space="preserve">This Literature Review underscores that the "Banker" is a cornerstone of economic development in "Myanmar Yangon," navigating complex challenges while adapting to dynamic local and global demands. As Yangon emerges as a regional financial center, the role of bankers must evolve to prioritize inclusivity, innovation, and resilience. Future research should focus on longitudinal studies of banking practices in Yangon and their impact on poverty alleviation and sustainable growth.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Banker in Myanmar Yangon</dc:title>
  <dc:creator/>
  <dc:language>en</dc:language>
  <cp:keywords/>
  <dcterms:created xsi:type="dcterms:W3CDTF">2026-07-24T16:27:08Z</dcterms:created>
  <dcterms:modified xsi:type="dcterms:W3CDTF">2026-07-24T16:27:08Z</dcterms:modified>
</cp:coreProperties>
</file>

<file path=docProps/custom.xml><?xml version="1.0" encoding="utf-8"?>
<Properties xmlns="http://schemas.openxmlformats.org/officeDocument/2006/custom-properties" xmlns:vt="http://schemas.openxmlformats.org/officeDocument/2006/docPropsVTypes"/>
</file>