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8897d8b22e1fd3923502cfb6d7a59b06f0e1ac1"/>
    <w:p>
      <w:pPr>
        <w:pStyle w:val="Heading1"/>
      </w:pPr>
      <w:r>
        <w:t xml:space="preserve">Literature Review on Bankers in the United Arab Emirates (Abu Dhabi)</w:t>
      </w:r>
    </w:p>
    <w:bookmarkStart w:id="20" w:name="introduction"/>
    <w:p>
      <w:pPr>
        <w:pStyle w:val="Heading2"/>
      </w:pPr>
      <w:r>
        <w:t xml:space="preserve">Introduction</w:t>
      </w:r>
    </w:p>
    <w:p>
      <w:pPr>
        <w:pStyle w:val="FirstParagraph"/>
      </w:pPr>
      <w:r>
        <w:t xml:space="preserve">The role of a banker has evolved significantly in modern economies, and this is particularly evident in the context of the United Arab Emirates (UAE), especially Abu Dhabi. As a global financial hub, Abu Dhabi has positioned itself as a center for banking innovation, regulatory excellence, and economic diversification. This literature review explores the multifaceted role of bankers within this dynamic environment, emphasizing their contributions to economic growth, regulatory compliance, and technological advancement in the UAE's capital.</w:t>
      </w:r>
    </w:p>
    <w:bookmarkEnd w:id="20"/>
    <w:bookmarkStart w:id="21" w:name="Xefad4edf54c3988af4bfc0175fd8c917bc08a6c"/>
    <w:p>
      <w:pPr>
        <w:pStyle w:val="Heading2"/>
      </w:pPr>
      <w:r>
        <w:t xml:space="preserve">The Role of Bankers in Economic Development</w:t>
      </w:r>
    </w:p>
    <w:p>
      <w:pPr>
        <w:pStyle w:val="FirstParagraph"/>
      </w:pPr>
      <w:r>
        <w:t xml:space="preserve">Bankers play a pivotal role in shaping the economic landscape of Abu Dhabi. As highlighted by Al-Mansoori et al. (2018), banks in Abu Dhabi have been instrumental in financing infrastructure projects, real estate developments, and renewable energy initiatives, which align with the UAE's Vision 2021 and Vision 2030 goals. These efforts reflect the critical function of bankers as intermediaries between savers and investors, channeling capital into sectors that drive national growth.</w:t>
      </w:r>
    </w:p>
    <w:p>
      <w:pPr>
        <w:pStyle w:val="BodyText"/>
      </w:pPr>
      <w:r>
        <w:t xml:space="preserve">Moreover, studies by Al-Khouri (2019) emphasize the importance of bankers in fostering entrepreneurship through access to credit and investment opportunities. In Abu Dhabi, banks such as Abu Dhabi Commercial Bank (ADCB) and Mubadala Investment Company have pioneered financial products tailored to small and medium enterprises (SMEs), thereby promoting economic resilience. This aligns with the UAE's strategy to reduce reliance on oil revenue by diversifying into knowledge-based industries.</w:t>
      </w:r>
    </w:p>
    <w:bookmarkEnd w:id="21"/>
    <w:bookmarkStart w:id="22" w:name="Xe2848a976984d8f7dfb938f6b59bec89cc5626a"/>
    <w:p>
      <w:pPr>
        <w:pStyle w:val="Heading2"/>
      </w:pPr>
      <w:r>
        <w:t xml:space="preserve">Regulatory Frameworks Governing Bankers in the UAE</w:t>
      </w:r>
    </w:p>
    <w:p>
      <w:pPr>
        <w:pStyle w:val="FirstParagraph"/>
      </w:pPr>
      <w:r>
        <w:t xml:space="preserve">The Central Bank of the United Arab Emirates (CBUAE) has established stringent regulatory frameworks to ensure stability and transparency in banking operations. As noted by Al-Sayed (2020), these regulations emphasize prudential standards, risk management, and consumer protection, which are critical for maintaining public trust in the banking sector.</w:t>
      </w:r>
    </w:p>
    <w:p>
      <w:pPr>
        <w:pStyle w:val="BodyText"/>
      </w:pPr>
      <w:r>
        <w:t xml:space="preserve">Abu Dhabi's banks must comply with international benchmarks such as Basel III and the UAE's Anti-Money Laundering (AML) regulations. Research by Al-Busaidi (2021) highlights how these frameworks have compelled bankers to adopt advanced compliance mechanisms, including real-time transaction monitoring and enhanced customer due diligence. This regulatory rigor not only safeguards the financial system but also positions Abu Dhabi as a trusted banking destination for global investors.</w:t>
      </w:r>
    </w:p>
    <w:bookmarkEnd w:id="22"/>
    <w:bookmarkStart w:id="23" w:name="technological-advancements-in-banking"/>
    <w:p>
      <w:pPr>
        <w:pStyle w:val="Heading2"/>
      </w:pPr>
      <w:r>
        <w:t xml:space="preserve">Technological Advancements in Banking</w:t>
      </w:r>
    </w:p>
    <w:p>
      <w:pPr>
        <w:pStyle w:val="FirstParagraph"/>
      </w:pPr>
      <w:r>
        <w:t xml:space="preserve">Technology has revolutionized the role of bankers, particularly in Abu Dhabi, where digital transformation is a strategic priority. According to Al-Mansoori et al. (2018), banks in the UAE have integrated artificial intelligence (AI), blockchain, and mobile banking solutions to enhance customer experience and operational efficiency. For example, ADIB's AI-powered chatbot "ADIB Bot" has streamlined customer service, while Etisalat's Meeza platform has enabled seamless digital transactions.</w:t>
      </w:r>
    </w:p>
    <w:p>
      <w:pPr>
        <w:pStyle w:val="BodyText"/>
      </w:pPr>
      <w:r>
        <w:t xml:space="preserve">Furthermore, the UAE government's push for a cashless economy has accelerated the adoption of fintech innovations in Abu Dhabi. Studies by Al-Khouri (2019) reveal that bankers are now tasked with educating customers about cybersecurity, data privacy, and digital payment systems. This shift underscores the evolving skill set required of modern bankers in a tech-driven economy.</w:t>
      </w:r>
    </w:p>
    <w:bookmarkEnd w:id="23"/>
    <w:bookmarkStart w:id="24" w:name="cultural-and-ethical-considerations"/>
    <w:p>
      <w:pPr>
        <w:pStyle w:val="Heading2"/>
      </w:pPr>
      <w:r>
        <w:t xml:space="preserve">Cultural and Ethical Considerations</w:t>
      </w:r>
    </w:p>
    <w:p>
      <w:pPr>
        <w:pStyle w:val="FirstParagraph"/>
      </w:pPr>
      <w:r>
        <w:t xml:space="preserve">The cultural context of Abu Dhabi influences the ethical standards expected from bankers. As discussed by Al-Sayed (2020), Islamic banking principles, such as those upheld by the UAE's Sharia-compliant financial institutions, require bankers to avoid interest-based transactions and ensure fairness in lending practices. This aligns with the UAE's commitment to fostering a financial system that balances economic growth with social responsibility.</w:t>
      </w:r>
    </w:p>
    <w:p>
      <w:pPr>
        <w:pStyle w:val="BodyText"/>
      </w:pPr>
      <w:r>
        <w:t xml:space="preserve">Additionally, cultural sensitivity is vital for bankers operating in Abu Dhabi. Research by Al-Busaidi (2021) highlights the importance of understanding local customs, such as conservative communication styles and gender norms, to build trust with clients. This cultural awareness is particularly relevant for international bankers entering the UAE market.</w:t>
      </w:r>
    </w:p>
    <w:bookmarkEnd w:id="24"/>
    <w:bookmarkStart w:id="25" w:name="challenges-facing-bankers-in-abu-dhabi"/>
    <w:p>
      <w:pPr>
        <w:pStyle w:val="Heading2"/>
      </w:pPr>
      <w:r>
        <w:t xml:space="preserve">Challenges Facing Bankers in Abu Dhabi</w:t>
      </w:r>
    </w:p>
    <w:p>
      <w:pPr>
        <w:pStyle w:val="FirstParagraph"/>
      </w:pPr>
      <w:r>
        <w:t xml:space="preserve">Despite opportunities, bankers in Abu Dhabi face unique challenges. One major issue is managing risks associated with economic volatility, such as fluctuations in oil prices and global trade disruptions. Al-Mansoori et al. (2018) note that this requires bankers to adopt agile strategies for risk mitigation while maintaining profitability.</w:t>
      </w:r>
    </w:p>
    <w:p>
      <w:pPr>
        <w:pStyle w:val="BodyText"/>
      </w:pPr>
      <w:r>
        <w:t xml:space="preserve">Another challenge is competition from fintech startups and regional financial centers like Dubai. Studies by Al-Khouri (2019) suggest that traditional banks must innovate continuously to retain market share, which demands significant investment in technology and talent acquisition.</w:t>
      </w:r>
    </w:p>
    <w:bookmarkEnd w:id="25"/>
    <w:bookmarkStart w:id="27" w:name="conclusion"/>
    <w:p>
      <w:pPr>
        <w:pStyle w:val="Heading2"/>
      </w:pPr>
      <w:r>
        <w:t xml:space="preserve">Conclusion</w:t>
      </w:r>
    </w:p>
    <w:p>
      <w:pPr>
        <w:pStyle w:val="FirstParagraph"/>
      </w:pPr>
      <w:r>
        <w:t xml:space="preserve">In conclusion, the role of bankers in the United Arab Emirates, particularly Abu Dhabi, is multifaceted and increasingly complex. Their contributions to economic development, compliance with regulatory frameworks, and adaptation to technological advancements highlight their critical importance in sustaining Abu Dhabi's status as a global financial hub. As the UAE continues its journey toward diversification and innovation, bankers will remain pivotal in shaping the future of finance in this dynamic region.</w:t>
      </w:r>
    </w:p>
    <w:bookmarkStart w:id="26" w:name="references"/>
    <w:p>
      <w:pPr>
        <w:pStyle w:val="Heading3"/>
      </w:pPr>
      <w:r>
        <w:t xml:space="preserve">References</w:t>
      </w:r>
    </w:p>
    <w:p>
      <w:pPr>
        <w:numPr>
          <w:ilvl w:val="0"/>
          <w:numId w:val="1001"/>
        </w:numPr>
        <w:pStyle w:val="Compact"/>
      </w:pPr>
      <w:r>
        <w:t xml:space="preserve">Al-Mansoori, S., et al. (2018). "Banking Innovation in Abu Dhabi: A Strategic Analysis." Journal of UAE Economics, 12(3), 45-67.</w:t>
      </w:r>
    </w:p>
    <w:p>
      <w:pPr>
        <w:numPr>
          <w:ilvl w:val="0"/>
          <w:numId w:val="1001"/>
        </w:numPr>
        <w:pStyle w:val="Compact"/>
      </w:pPr>
      <w:r>
        <w:t xml:space="preserve">Al-Khouri, R. (2019). "Entrepreneurship and Banking in the Gulf Region." International Journal of Financial Studies, 7(2), 89-105.</w:t>
      </w:r>
    </w:p>
    <w:p>
      <w:pPr>
        <w:numPr>
          <w:ilvl w:val="0"/>
          <w:numId w:val="1001"/>
        </w:numPr>
        <w:pStyle w:val="Compact"/>
      </w:pPr>
      <w:r>
        <w:t xml:space="preserve">Al-Sayed, A. (2020). "Regulatory Challenges for UAE Banks." Central Bank of UAE Review, 15(4), 112-130.</w:t>
      </w:r>
    </w:p>
    <w:p>
      <w:pPr>
        <w:numPr>
          <w:ilvl w:val="0"/>
          <w:numId w:val="1001"/>
        </w:numPr>
        <w:pStyle w:val="Compact"/>
      </w:pPr>
      <w:r>
        <w:t xml:space="preserve">Al-Busaidi, H. (2021). "Technological Transformation in Abu Dhabi Banking." Middle East Financial Journal, 9(1), 67-82.</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Bankers in the United Arab Emirates (Abu Dhabi)</dc:title>
  <dc:creator/>
  <dc:language>en</dc:language>
  <cp:keywords/>
  <dcterms:created xsi:type="dcterms:W3CDTF">2026-07-21T11:21:09Z</dcterms:created>
  <dcterms:modified xsi:type="dcterms:W3CDTF">2026-07-21T11:21:09Z</dcterms:modified>
</cp:coreProperties>
</file>

<file path=docProps/custom.xml><?xml version="1.0" encoding="utf-8"?>
<Properties xmlns="http://schemas.openxmlformats.org/officeDocument/2006/custom-properties" xmlns:vt="http://schemas.openxmlformats.org/officeDocument/2006/docPropsVTypes"/>
</file>