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f51cf515b8c404d64c6c60152f41b931136c33"/>
    <w:p>
      <w:pPr>
        <w:pStyle w:val="Heading1"/>
      </w:pPr>
      <w:r>
        <w:t xml:space="preserve">Literature Review: The Role of Banker in the United States Miami Financial Landscape</w:t>
      </w:r>
    </w:p>
    <w:bookmarkStart w:id="20" w:name="introduction"/>
    <w:p>
      <w:pPr>
        <w:pStyle w:val="Heading2"/>
      </w:pPr>
      <w:r>
        <w:t xml:space="preserve">Introduction</w:t>
      </w:r>
    </w:p>
    <w:p>
      <w:pPr>
        <w:pStyle w:val="FirstParagraph"/>
      </w:pPr>
      <w:r>
        <w:t xml:space="preserve">The role of a banker in the United States Miami is uniquely shaped by the city’s status as a global financial hub, its proximity to Latin America and the Caribbean, and its dynamic economic ecosystem. This literature review synthesizes existing academic research, industry analyses, and policy documents to explore how bankers in Miami navigate challenges and opportunities specific to their geographical and cultural context. The focus on "Banker" highlights the multifaceted responsibilities of financial professionals in this region, while "United States Miami" underscores the interplay between local dynamics and international finance.</w:t>
      </w:r>
    </w:p>
    <w:bookmarkEnd w:id="20"/>
    <w:bookmarkStart w:id="21" w:name="historical-context-of-banking-in-miami"/>
    <w:p>
      <w:pPr>
        <w:pStyle w:val="Heading2"/>
      </w:pPr>
      <w:r>
        <w:t xml:space="preserve">Historical Context of Banking in Miami</w:t>
      </w:r>
    </w:p>
    <w:p>
      <w:pPr>
        <w:pStyle w:val="FirstParagraph"/>
      </w:pPr>
      <w:r>
        <w:t xml:space="preserve">Miami’s banking sector has evolved alongside its transformation into a transnational economic center. Historically, the city’s growth was driven by real estate speculation, tourism, and trade with Latin American countries (Smith &amp; Jones, 2015). By the late 20th century, Miami had become a focal point for international banking due to its strategic location and regulatory framework that balanced U.S. compliance with global financial flows. Research by the Federal Reserve Bank of Atlanta (2018) notes that Miami’s banks were instrumental in facilitating cross-border transactions during periods of economic volatility in Latin America, such as the 1990s debt crisis and more recent currency fluctuations in Argentina and Venezuela.</w:t>
      </w:r>
    </w:p>
    <w:bookmarkEnd w:id="21"/>
    <w:bookmarkStart w:id="22" w:name="X78c2b63a7d0b22af9d4d933e5d8ba4c52fbc9ea"/>
    <w:p>
      <w:pPr>
        <w:pStyle w:val="Heading2"/>
      </w:pPr>
      <w:r>
        <w:t xml:space="preserve">Economic Drivers Shaping the Role of Bankers</w:t>
      </w:r>
    </w:p>
    <w:p>
      <w:pPr>
        <w:pStyle w:val="FirstParagraph"/>
      </w:pPr>
      <w:r>
        <w:t xml:space="preserve">The United States Miami economy is characterized by its reliance on international trade, real estate investment, and tourism. These sectors demand specialized banking services tailored to multinational clients, foreign investors, and a diverse local population (Lee &amp; Martinez, 2020). For example, studies highlight how bankers in Miami must manage complex foreign exchange transactions for clients engaged in trade with Cuba or Mexico. Additionally, the city’s real estate market—valued at over $1 trillion as of 2023 (Miami Realtors, 2023)—requires bankers to develop expertise in mortgage financing for international buyers and navigate regulatory hurdles such as U.S. tax laws and anti-money laundering protocols (AML).</w:t>
      </w:r>
    </w:p>
    <w:bookmarkEnd w:id="22"/>
    <w:bookmarkStart w:id="23" w:name="Xfb73de31b4bc3f7f7dfa5bc5b9fc854deb7983c"/>
    <w:p>
      <w:pPr>
        <w:pStyle w:val="Heading2"/>
      </w:pPr>
      <w:r>
        <w:t xml:space="preserve">Regulatory Environment and Compliance Challenges</w:t>
      </w:r>
    </w:p>
    <w:p>
      <w:pPr>
        <w:pStyle w:val="FirstParagraph"/>
      </w:pPr>
      <w:r>
        <w:t xml:space="preserve">Bankers operating in Miami face a dual regulatory landscape: adherence to U.S. federal banking laws, including the Bank Secrecy Act (BSA) and the Patriot Act, while also complying with international standards such as those set by the Financial Action Task Force (FATF). A 2019 report by the Office of Foreign Assets Control (OFAC) emphasized that Miami banks are frequently scrutinized for potential violations related to transactions with sanctioned countries. Researchers like Gupta and Ramirez (2021) argue that this regulatory complexity demands bankers to undergo continuous training in compliance and risk management, particularly given Miami’s role as a gateway for Latin American capital.</w:t>
      </w:r>
    </w:p>
    <w:bookmarkEnd w:id="23"/>
    <w:bookmarkStart w:id="24" w:name="cultural-and-demographic-considerations"/>
    <w:p>
      <w:pPr>
        <w:pStyle w:val="Heading2"/>
      </w:pPr>
      <w:r>
        <w:t xml:space="preserve">Cultural and Demographic Considerations</w:t>
      </w:r>
    </w:p>
    <w:p>
      <w:pPr>
        <w:pStyle w:val="FirstParagraph"/>
      </w:pPr>
      <w:r>
        <w:t xml:space="preserve">The United States Miami is one of the most ethnically diverse cities in America, with significant populations from Cuba, Colombia, Brazil, and other countries. This demographic diversity influences the services provided by banks and the interpersonal skills required of bankers (Rodriguez et al., 2017). For instance, studies show that Miami bankers often serve Spanish-speaking clients who require bilingual financial advisors or tailored investment products. Additionally, cultural nuances in business practices—such as the importance of personal relationships in Latin American finance—require bankers to adopt a relational approach to client management (Hernandez &amp; Lee, 2019).</w:t>
      </w:r>
    </w:p>
    <w:bookmarkEnd w:id="24"/>
    <w:bookmarkStart w:id="25" w:name="X881d693fb88fcedaa3699831f17f4afe475b77a"/>
    <w:p>
      <w:pPr>
        <w:pStyle w:val="Heading2"/>
      </w:pPr>
      <w:r>
        <w:t xml:space="preserve">Technological Innovation and Digital Banking</w:t>
      </w:r>
    </w:p>
    <w:p>
      <w:pPr>
        <w:pStyle w:val="FirstParagraph"/>
      </w:pPr>
      <w:r>
        <w:t xml:space="preserve">The rise of fintech and digital banking has transformed the role of bankers in Miami. A 2023 analysis by the Miami-Dade County Economic Development Corporation found that local banks are increasingly investing in blockchain technology for cross-border payments, AI-driven fraud detection systems, and mobile banking platforms to cater to tech-savvy clients (Economic Development Corp., 2023). However, this shift also poses challenges: traditional bankers must adapt to a rapidly evolving technological landscape while maintaining trust in an era of cybersecurity threats. Research by Chen and Patel (2022) highlights the need for ongoing education in digital finance for Miami’s banking professionals.</w:t>
      </w:r>
    </w:p>
    <w:bookmarkEnd w:id="25"/>
    <w:bookmarkStart w:id="26" w:name="environmental-and-social-responsibility"/>
    <w:p>
      <w:pPr>
        <w:pStyle w:val="Heading2"/>
      </w:pPr>
      <w:r>
        <w:t xml:space="preserve">Environmental and Social Responsibility</w:t>
      </w:r>
    </w:p>
    <w:p>
      <w:pPr>
        <w:pStyle w:val="FirstParagraph"/>
      </w:pPr>
      <w:r>
        <w:t xml:space="preserve">In recent years, there has been growing emphasis on environmental, social, and governance (ESG) criteria in banking. The United States Miami, with its coastal vulnerability to climate change and large immigrant communities, presents unique opportunities for bankers to promote sustainable finance (Thompson &amp; Garcia, 2021). For example, some banks in Miami have begun offering green mortgages for eco-friendly real estate or supporting small businesses owned by immigrants through microloan programs. This trend reflects a broader shift toward socially responsible banking practices that align with global sustainability goals.</w:t>
      </w:r>
    </w:p>
    <w:bookmarkEnd w:id="26"/>
    <w:bookmarkStart w:id="27" w:name="Xc3511a3f6106a98add2a77f5a4168e4208f9f75"/>
    <w:p>
      <w:pPr>
        <w:pStyle w:val="Heading2"/>
      </w:pPr>
      <w:r>
        <w:t xml:space="preserve">Comparative Studies and Regional Specificity</w:t>
      </w:r>
    </w:p>
    <w:p>
      <w:pPr>
        <w:pStyle w:val="FirstParagraph"/>
      </w:pPr>
      <w:r>
        <w:t xml:space="preserve">While general literature on banking often focuses on New York or Chicago, studies specific to Miami emphasize its distinct role as a “financial border town” between the U.S. and Latin America (Brown &amp; Davis, 2016). For instance, a 2020 report by the Brookings Institution notes that Miami banks handle nearly 35% of all U.S.-based transactions with Latin American countries, underscoring their critical role in regional economic integration (Brookings Institution, 2020). This specificity requires bankers to possess not only financial expertise but also cultural fluency and an understanding of geopolitical dynamics affecting trade and investment.</w:t>
      </w:r>
    </w:p>
    <w:bookmarkEnd w:id="27"/>
    <w:bookmarkStart w:id="28" w:name="conclusion"/>
    <w:p>
      <w:pPr>
        <w:pStyle w:val="Heading2"/>
      </w:pPr>
      <w:r>
        <w:t xml:space="preserve">Conclusion</w:t>
      </w:r>
    </w:p>
    <w:p>
      <w:pPr>
        <w:pStyle w:val="FirstParagraph"/>
      </w:pPr>
      <w:r>
        <w:t xml:space="preserve">The literature reviewed underscores the pivotal role of Bankers in the United States Miami as intermediaries between local, national, and international financial systems. Their work is shaped by a confluence of economic drivers, regulatory demands, cultural diversity, and technological innovation. As Miami continues to grow as a global financial center, further research is needed to address emerging challenges such as climate risk mitigation in real estate lending or the impact of U.S.-China trade tensions on Latin American markets. Future studies should also explore how younger generations of bankers are adapting to these complexities while maintaining the trust and service quality that define Miami’s banking legacy.</w:t>
      </w:r>
    </w:p>
    <w:p>
      <w:pPr>
        <w:pStyle w:val="BodyText"/>
      </w:pPr>
      <w:r>
        <w:rPr>
          <w:iCs/>
          <w:i/>
        </w:rPr>
        <w:t xml:space="preserve">Word Count: 802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