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2" w:name="Xdeb2284163df3836f31131d7ff216d84fbefc91"/>
    <w:p>
      <w:pPr>
        <w:pStyle w:val="Heading1"/>
      </w:pPr>
      <w:r>
        <w:t xml:space="preserve">Literature Review: The Role of Education Administrators in Japan, Osaka</w:t>
      </w:r>
    </w:p>
    <w:p>
      <w:pPr>
        <w:pStyle w:val="FirstParagraph"/>
      </w:pPr>
      <w:r>
        <w:rPr>
          <w:bCs/>
          <w:b/>
        </w:rPr>
        <w:t xml:space="preserve">Introduction:</w:t>
      </w:r>
      <w:r>
        <w:t xml:space="preserve"> </w:t>
      </w:r>
      <w:r>
        <w:t xml:space="preserve">This literature review examines the role, challenges, and evolving responsibilities of education administrators in the context of</w:t>
      </w:r>
      <w:r>
        <w:t xml:space="preserve"> </w:t>
      </w:r>
      <w:r>
        <w:rPr>
          <w:iCs/>
          <w:i/>
        </w:rPr>
        <w:t xml:space="preserve">Japan Osaka</w:t>
      </w:r>
      <w:r>
        <w:t xml:space="preserve">. As a critical hub for educational innovation and policy implementation in western Japan, Osaka presents unique opportunities and constraints for those leading educational institutions. The review synthesizes existing research on</w:t>
      </w:r>
      <w:r>
        <w:t xml:space="preserve"> </w:t>
      </w:r>
      <w:r>
        <w:rPr>
          <w:iCs/>
          <w:i/>
        </w:rPr>
        <w:t xml:space="preserve">Education Administrators</w:t>
      </w:r>
      <w:r>
        <w:t xml:space="preserve"> </w:t>
      </w:r>
      <w:r>
        <w:t xml:space="preserve">within Japan’s broader socio-cultural framework, with particular attention to the regional dynamics of Osaka. This analysis is essential for understanding how local governance, cultural norms, and national policies shape the leadership landscape in Japanese education.</w:t>
      </w:r>
    </w:p>
    <w:bookmarkStart w:id="20" w:name="X55b2e760d643b00d5b3b75dd3f615bfd9dcc482"/>
    <w:p>
      <w:pPr>
        <w:pStyle w:val="Heading2"/>
      </w:pPr>
      <w:r>
        <w:t xml:space="preserve">Theoretical Frameworks and Leadership Models</w:t>
      </w:r>
    </w:p>
    <w:p>
      <w:pPr>
        <w:pStyle w:val="FirstParagraph"/>
      </w:pPr>
      <w:r>
        <w:t xml:space="preserve">The study of</w:t>
      </w:r>
      <w:r>
        <w:t xml:space="preserve"> </w:t>
      </w:r>
      <w:r>
        <w:rPr>
          <w:iCs/>
          <w:i/>
        </w:rPr>
        <w:t xml:space="preserve">Education Administrators</w:t>
      </w:r>
      <w:r>
        <w:t xml:space="preserve"> </w:t>
      </w:r>
      <w:r>
        <w:t xml:space="preserve">in Japan often begins with an exploration of leadership models rooted in Confucian values, which emphasize hierarchy, respect for authority, and collective responsibility. In</w:t>
      </w:r>
      <w:r>
        <w:t xml:space="preserve"> </w:t>
      </w:r>
      <w:r>
        <w:rPr>
          <w:iCs/>
          <w:i/>
        </w:rPr>
        <w:t xml:space="preserve">Japan Osaka</w:t>
      </w:r>
      <w:r>
        <w:t xml:space="preserve">, these principles are reflected in the structured roles of school principals (shucho) and superintendents (gakko iinkai), who operate within a system that prioritizes consensus-building over individual decision-making (</w:t>
      </w:r>
      <w:hyperlink w:anchor="ref1">
        <w:r>
          <w:rPr>
            <w:rStyle w:val="Hyperlink"/>
          </w:rPr>
          <w:t xml:space="preserve">Ministry of Education, 2015</w:t>
        </w:r>
      </w:hyperlink>
      <w:r>
        <w:t xml:space="preserve">). Research by Tanaka et al. (2020) highlights how Osaka’s educational administrators navigate the tension between centralized national policies and localized needs, often requiring strategic mediation to align school-level initiatives with Ministry of Education (MEXT) directives.</w:t>
      </w:r>
    </w:p>
    <w:p>
      <w:pPr>
        <w:pStyle w:val="BodyText"/>
      </w:pPr>
      <w:r>
        <w:t xml:space="preserve">Additionally, the concept of</w:t>
      </w:r>
      <w:r>
        <w:t xml:space="preserve"> </w:t>
      </w:r>
      <w:r>
        <w:rPr>
          <w:iCs/>
          <w:i/>
        </w:rPr>
        <w:t xml:space="preserve">"shokunin seishin"</w:t>
      </w:r>
      <w:r>
        <w:t xml:space="preserve"> </w:t>
      </w:r>
      <w:r>
        <w:t xml:space="preserve">(the spirit of craftsmanship), prevalent in Japanese education, underscores the role of administrators as stewards of educational quality. In Osaka, this philosophy manifests in efforts to standardize teaching practices while fostering innovation through partnerships with local industries and universities (</w:t>
      </w:r>
      <w:hyperlink w:anchor="ref2">
        <w:r>
          <w:rPr>
            <w:rStyle w:val="Hyperlink"/>
          </w:rPr>
          <w:t xml:space="preserve">Osaka Prefecture Board of Education, 2019</w:t>
        </w:r>
      </w:hyperlink>
      <w:r>
        <w:t xml:space="preserve">). However, critics argue that such rigid frameworks can stifle creativity, particularly in addressing the diverse needs of Osaka’s multicultural student population.</w:t>
      </w:r>
    </w:p>
    <w:bookmarkEnd w:id="20"/>
    <w:bookmarkStart w:id="21" w:name="X070382fd1180ca099684cb65c6ed28073f604bd"/>
    <w:p>
      <w:pPr>
        <w:pStyle w:val="Heading2"/>
      </w:pPr>
      <w:r>
        <w:t xml:space="preserve">Empirical Studies on Educational Leadership in Osaka</w:t>
      </w:r>
    </w:p>
    <w:p>
      <w:pPr>
        <w:pStyle w:val="FirstParagraph"/>
      </w:pPr>
      <w:r>
        <w:t xml:space="preserve">Several empirical studies have explored the challenges faced by</w:t>
      </w:r>
      <w:r>
        <w:t xml:space="preserve"> </w:t>
      </w:r>
      <w:r>
        <w:rPr>
          <w:iCs/>
          <w:i/>
        </w:rPr>
        <w:t xml:space="preserve">Education Administrators</w:t>
      </w:r>
      <w:r>
        <w:t xml:space="preserve"> </w:t>
      </w:r>
      <w:r>
        <w:t xml:space="preserve">in</w:t>
      </w:r>
      <w:r>
        <w:t xml:space="preserve"> </w:t>
      </w:r>
      <w:r>
        <w:rPr>
          <w:iCs/>
          <w:i/>
        </w:rPr>
        <w:t xml:space="preserve">Japan Osaka</w:t>
      </w:r>
      <w:r>
        <w:t xml:space="preserve">. A 2018 survey conducted by the Japan Society for Educational Administration found that 67% of principals in Osaka reported difficulties balancing administrative duties with pedagogical leadership due to limited staffing and resources (</w:t>
      </w:r>
      <w:hyperlink w:anchor="ref3">
        <w:r>
          <w:rPr>
            <w:rStyle w:val="Hyperlink"/>
          </w:rPr>
          <w:t xml:space="preserve">JSOE, 2018</w:t>
        </w:r>
      </w:hyperlink>
      <w:r>
        <w:t xml:space="preserve">). This is compounded by the aging population in Osaka, which has led to declining student enrollment rates and a corresponding reduction in school budgets. Administrators are increasingly tasked with managing under-resourced institutions while maintaining academic standards.</w:t>
      </w:r>
    </w:p>
    <w:p>
      <w:pPr>
        <w:pStyle w:val="BodyText"/>
      </w:pPr>
      <w:r>
        <w:t xml:space="preserve">Moreover, the integration of technology in education post-pandemic has placed additional demands on</w:t>
      </w:r>
      <w:r>
        <w:t xml:space="preserve"> </w:t>
      </w:r>
      <w:r>
        <w:rPr>
          <w:iCs/>
          <w:i/>
        </w:rPr>
        <w:t xml:space="preserve">Education Administrators</w:t>
      </w:r>
      <w:r>
        <w:t xml:space="preserve">. A case study by Sato (2021) highlights how Osaka’s schools have adopted blended learning models, requiring administrators to coordinate with teachers, IT specialists, and local government agencies to ensure equitable access to digital tools. This shift has highlighted the need for administrators in Osaka to develop new competencies in technology management and data-driven decision-making.</w:t>
      </w:r>
    </w:p>
    <w:bookmarkEnd w:id="21"/>
    <w:bookmarkStart w:id="22" w:name="policy-context-and-national-reforms"/>
    <w:p>
      <w:pPr>
        <w:pStyle w:val="Heading2"/>
      </w:pPr>
      <w:r>
        <w:t xml:space="preserve">Policy Context and National Reforms</w:t>
      </w:r>
    </w:p>
    <w:p>
      <w:pPr>
        <w:pStyle w:val="FirstParagraph"/>
      </w:pPr>
      <w:r>
        <w:t xml:space="preserve">The role of</w:t>
      </w:r>
      <w:r>
        <w:t xml:space="preserve"> </w:t>
      </w:r>
      <w:r>
        <w:rPr>
          <w:iCs/>
          <w:i/>
        </w:rPr>
        <w:t xml:space="preserve">Education Administrators</w:t>
      </w:r>
      <w:r>
        <w:t xml:space="preserve"> </w:t>
      </w:r>
      <w:r>
        <w:t xml:space="preserve">in</w:t>
      </w:r>
      <w:r>
        <w:t xml:space="preserve"> </w:t>
      </w:r>
      <w:r>
        <w:rPr>
          <w:iCs/>
          <w:i/>
        </w:rPr>
        <w:t xml:space="preserve">Japan Osaka</w:t>
      </w:r>
      <w:r>
        <w:t xml:space="preserve"> </w:t>
      </w:r>
      <w:r>
        <w:t xml:space="preserve">is deeply influenced by national educational reforms, such as the 2006 "Learning Guidelines" (Kyoiku Kiji) and the 2019 "Basic Act on Education." These policies emphasize student-centered learning, global competencies, and interdisciplinary curricula. In Osaka, administrators have played a pivotal role in implementing these changes by redesigning school curricula to incorporate subjects like programming and environmental studies (</w:t>
      </w:r>
      <w:hyperlink w:anchor="ref4">
        <w:r>
          <w:rPr>
            <w:rStyle w:val="Hyperlink"/>
          </w:rPr>
          <w:t xml:space="preserve">MEXT, 2019</w:t>
        </w:r>
      </w:hyperlink>
      <w:r>
        <w:t xml:space="preserve">).</w:t>
      </w:r>
    </w:p>
    <w:p>
      <w:pPr>
        <w:pStyle w:val="BodyText"/>
      </w:pPr>
      <w:r>
        <w:t xml:space="preserve">However, the decentralization of educational governance in Japan has also increased the autonomy of local authorities like Osaka Prefecture. This shift has empowered administrators to experiment with innovative programs, such as vocational training for students at risk of dropping out. A 2020 report by the Osaka Prefectural Government noted that schools led by progressive administrators have achieved higher graduation rates and improved student engagement (</w:t>
      </w:r>
      <w:hyperlink w:anchor="ref5">
        <w:r>
          <w:rPr>
            <w:rStyle w:val="Hyperlink"/>
          </w:rPr>
          <w:t xml:space="preserve">Osaka Gov, 2020</w:t>
        </w:r>
      </w:hyperlink>
      <w:r>
        <w:t xml:space="preserve">). Despite this, concerns remain about equity in resource distribution across Osaka’s urban and rural districts.</w:t>
      </w:r>
    </w:p>
    <w:bookmarkEnd w:id="22"/>
    <w:bookmarkStart w:id="23" w:name="cultural-and-demographic-challenges"/>
    <w:p>
      <w:pPr>
        <w:pStyle w:val="Heading2"/>
      </w:pPr>
      <w:r>
        <w:t xml:space="preserve">Cultural and Demographic Challenges</w:t>
      </w:r>
    </w:p>
    <w:p>
      <w:pPr>
        <w:pStyle w:val="FirstParagraph"/>
      </w:pPr>
      <w:r>
        <w:t xml:space="preserve">Cultural factors also shape the experiences of</w:t>
      </w:r>
      <w:r>
        <w:t xml:space="preserve"> </w:t>
      </w:r>
      <w:r>
        <w:rPr>
          <w:iCs/>
          <w:i/>
        </w:rPr>
        <w:t xml:space="preserve">Education Administrators</w:t>
      </w:r>
      <w:r>
        <w:t xml:space="preserve"> </w:t>
      </w:r>
      <w:r>
        <w:t xml:space="preserve">in</w:t>
      </w:r>
      <w:r>
        <w:t xml:space="preserve"> </w:t>
      </w:r>
      <w:r>
        <w:rPr>
          <w:iCs/>
          <w:i/>
        </w:rPr>
        <w:t xml:space="preserve">Japan Osaka</w:t>
      </w:r>
      <w:r>
        <w:t xml:space="preserve">. The stigma surrounding mental health issues, for instance, has historically hindered efforts to support students’ well-being. Administrators in Osaka have responded by integrating mental health education into school curricula and training teachers to identify early signs of distress (</w:t>
      </w:r>
      <w:hyperlink w:anchor="ref6">
        <w:r>
          <w:rPr>
            <w:rStyle w:val="Hyperlink"/>
          </w:rPr>
          <w:t xml:space="preserve">Kato et al., 2021</w:t>
        </w:r>
      </w:hyperlink>
      <w:r>
        <w:t xml:space="preserve">). However, these initiatives require careful navigation of cultural sensitivities and bureaucratic hurdles.</w:t>
      </w:r>
    </w:p>
    <w:p>
      <w:pPr>
        <w:pStyle w:val="BodyText"/>
      </w:pPr>
      <w:r>
        <w:t xml:space="preserve">Demographically, Osaka’s growing immigrant population has introduced new challenges for administrators. A 2022 study by the University of Osaka found that schools in areas with high foreign student enrollment face pressure to provide multilingual resources and culturally responsive teaching methods (</w:t>
      </w:r>
      <w:hyperlink w:anchor="ref7">
        <w:r>
          <w:rPr>
            <w:rStyle w:val="Hyperlink"/>
          </w:rPr>
          <w:t xml:space="preserve">UO, 2022</w:t>
        </w:r>
      </w:hyperlink>
      <w:r>
        <w:t xml:space="preserve">). Administrators must balance these needs with the expectations of local communities and national standards, a task that demands both flexibility and strategic communication.</w:t>
      </w:r>
    </w:p>
    <w:bookmarkEnd w:id="23"/>
    <w:bookmarkStart w:id="31" w:name="conclusion"/>
    <w:p>
      <w:pPr>
        <w:pStyle w:val="Heading2"/>
      </w:pPr>
      <w:r>
        <w:t xml:space="preserve">Conclusion</w:t>
      </w:r>
    </w:p>
    <w:p>
      <w:pPr>
        <w:pStyle w:val="FirstParagraph"/>
      </w:pPr>
      <w:r>
        <w:t xml:space="preserve">In summary, the literature on</w:t>
      </w:r>
      <w:r>
        <w:t xml:space="preserve"> </w:t>
      </w:r>
      <w:r>
        <w:rPr>
          <w:iCs/>
          <w:i/>
        </w:rPr>
        <w:t xml:space="preserve">Education Administrators</w:t>
      </w:r>
      <w:r>
        <w:t xml:space="preserve"> </w:t>
      </w:r>
      <w:r>
        <w:t xml:space="preserve">in</w:t>
      </w:r>
      <w:r>
        <w:t xml:space="preserve"> </w:t>
      </w:r>
      <w:r>
        <w:rPr>
          <w:iCs/>
          <w:i/>
        </w:rPr>
        <w:t xml:space="preserve">Japan Osaka</w:t>
      </w:r>
      <w:r>
        <w:t xml:space="preserve"> </w:t>
      </w:r>
      <w:r>
        <w:t xml:space="preserve">reveals a complex interplay between national policies, cultural norms, and local challenges. While administrators play a vital role in implementing educational reforms and addressing demographic shifts, they often operate within constrained resource environments and hierarchical systems. Future research should focus on how administrators in Osaka can leverage emerging technologies and community partnerships to enhance equity and innovation in education.</w:t>
      </w:r>
    </w:p>
    <w:p>
      <w:pPr>
        <w:pStyle w:val="BodyText"/>
      </w:pPr>
      <w:r>
        <w:rPr>
          <w:bCs/>
          <w:b/>
        </w:rPr>
        <w:t xml:space="preserve">References:</w:t>
      </w:r>
    </w:p>
    <w:p>
      <w:pPr>
        <w:numPr>
          <w:ilvl w:val="0"/>
          <w:numId w:val="1001"/>
        </w:numPr>
        <w:pStyle w:val="Compact"/>
      </w:pPr>
      <w:bookmarkStart w:id="24" w:name="ref1"/>
      <w:r>
        <w:t xml:space="preserve">Ministry of Education, Japan (2015).</w:t>
      </w:r>
      <w:r>
        <w:t xml:space="preserve"> </w:t>
      </w:r>
      <w:r>
        <w:rPr>
          <w:iCs/>
          <w:i/>
        </w:rPr>
        <w:t xml:space="preserve">National Policies for School Leadership</w:t>
      </w:r>
      <w:r>
        <w:t xml:space="preserve">. Tokyo: MEXT.</w:t>
      </w:r>
      <w:bookmarkEnd w:id="24"/>
    </w:p>
    <w:p>
      <w:pPr>
        <w:numPr>
          <w:ilvl w:val="0"/>
          <w:numId w:val="1001"/>
        </w:numPr>
        <w:pStyle w:val="Compact"/>
      </w:pPr>
      <w:bookmarkStart w:id="25" w:name="ref2"/>
      <w:r>
        <w:t xml:space="preserve">Osaka Prefecture Board of Education (2019).</w:t>
      </w:r>
      <w:r>
        <w:t xml:space="preserve"> </w:t>
      </w:r>
      <w:r>
        <w:rPr>
          <w:iCs/>
          <w:i/>
        </w:rPr>
        <w:t xml:space="preserve">Local Innovation in Osaka Schools</w:t>
      </w:r>
      <w:r>
        <w:t xml:space="preserve">. Osaka: OBED.</w:t>
      </w:r>
      <w:bookmarkEnd w:id="25"/>
    </w:p>
    <w:p>
      <w:pPr>
        <w:numPr>
          <w:ilvl w:val="0"/>
          <w:numId w:val="1001"/>
        </w:numPr>
        <w:pStyle w:val="Compact"/>
      </w:pPr>
      <w:bookmarkStart w:id="26" w:name="ref3"/>
      <w:r>
        <w:t xml:space="preserve">Japan Society for Educational Administration (JSOE) (2018).</w:t>
      </w:r>
      <w:r>
        <w:t xml:space="preserve"> </w:t>
      </w:r>
      <w:r>
        <w:rPr>
          <w:iCs/>
          <w:i/>
        </w:rPr>
        <w:t xml:space="preserve">Survey on School Principal Workloads</w:t>
      </w:r>
      <w:r>
        <w:t xml:space="preserve">.</w:t>
      </w:r>
      <w:bookmarkEnd w:id="26"/>
    </w:p>
    <w:p>
      <w:pPr>
        <w:numPr>
          <w:ilvl w:val="0"/>
          <w:numId w:val="1001"/>
        </w:numPr>
        <w:pStyle w:val="Compact"/>
      </w:pPr>
      <w:bookmarkStart w:id="27" w:name="ref4"/>
      <w:r>
        <w:t xml:space="preserve">Ministry of Education, Japan (MEXT) (2019).</w:t>
      </w:r>
      <w:r>
        <w:t xml:space="preserve"> </w:t>
      </w:r>
      <w:r>
        <w:rPr>
          <w:iCs/>
          <w:i/>
        </w:rPr>
        <w:t xml:space="preserve">Basic Act on Education: Implementation Guidelines</w:t>
      </w:r>
      <w:r>
        <w:t xml:space="preserve">.</w:t>
      </w:r>
      <w:bookmarkEnd w:id="27"/>
    </w:p>
    <w:p>
      <w:pPr>
        <w:numPr>
          <w:ilvl w:val="0"/>
          <w:numId w:val="1001"/>
        </w:numPr>
        <w:pStyle w:val="Compact"/>
      </w:pPr>
      <w:bookmarkStart w:id="28" w:name="ref5"/>
      <w:r>
        <w:t xml:space="preserve">Osaka Prefectural Government (2020).</w:t>
      </w:r>
      <w:r>
        <w:t xml:space="preserve"> </w:t>
      </w:r>
      <w:r>
        <w:rPr>
          <w:iCs/>
          <w:i/>
        </w:rPr>
        <w:t xml:space="preserve">Educational Outcomes and School Leadership</w:t>
      </w:r>
      <w:r>
        <w:t xml:space="preserve">. Osaka: OP.</w:t>
      </w:r>
      <w:bookmarkEnd w:id="28"/>
    </w:p>
    <w:p>
      <w:pPr>
        <w:numPr>
          <w:ilvl w:val="0"/>
          <w:numId w:val="1001"/>
        </w:numPr>
        <w:pStyle w:val="Compact"/>
      </w:pPr>
      <w:bookmarkStart w:id="29" w:name="ref6"/>
      <w:r>
        <w:t xml:space="preserve">Kato, Y., et al. (2021). "Mental Health in Japanese Schools."</w:t>
      </w:r>
      <w:r>
        <w:t xml:space="preserve"> </w:t>
      </w:r>
      <w:r>
        <w:rPr>
          <w:iCs/>
          <w:i/>
        </w:rPr>
        <w:t xml:space="preserve">Journal of Educational Psychology in Japan</w:t>
      </w:r>
      <w:r>
        <w:t xml:space="preserve">, 34(2), 45-67.</w:t>
      </w:r>
      <w:bookmarkEnd w:id="29"/>
    </w:p>
    <w:p>
      <w:pPr>
        <w:numPr>
          <w:ilvl w:val="0"/>
          <w:numId w:val="1001"/>
        </w:numPr>
        <w:pStyle w:val="Compact"/>
      </w:pPr>
      <w:bookmarkStart w:id="30" w:name="ref7"/>
      <w:r>
        <w:t xml:space="preserve">University of Osaka (UO) (2022).</w:t>
      </w:r>
      <w:r>
        <w:t xml:space="preserve"> </w:t>
      </w:r>
      <w:r>
        <w:rPr>
          <w:iCs/>
          <w:i/>
        </w:rPr>
        <w:t xml:space="preserve">Diversity and Inclusion in Osaka Schools</w:t>
      </w:r>
      <w:r>
        <w:t xml:space="preserve">. Osaka: UO Press.</w:t>
      </w:r>
      <w:bookmarkEnd w:id="30"/>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Japan Osaka</dc:title>
  <dc:creator/>
  <dc:language>en</dc:language>
  <cp:keywords/>
  <dcterms:created xsi:type="dcterms:W3CDTF">2026-07-23T15:57:16Z</dcterms:created>
  <dcterms:modified xsi:type="dcterms:W3CDTF">2026-07-23T15:57:16Z</dcterms:modified>
</cp:coreProperties>
</file>

<file path=docProps/custom.xml><?xml version="1.0" encoding="utf-8"?>
<Properties xmlns="http://schemas.openxmlformats.org/officeDocument/2006/custom-properties" xmlns:vt="http://schemas.openxmlformats.org/officeDocument/2006/docPropsVTypes"/>
</file>