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4243682a46e0fc09d421b6d9bcea55c88ccf5dd"/>
    <w:p>
      <w:pPr>
        <w:pStyle w:val="Heading1"/>
      </w:pPr>
      <w:r>
        <w:t xml:space="preserve">Literature Review: The Role and Challenges of Education Administrators in Malaysia Kuala Lumpur</w:t>
      </w:r>
    </w:p>
    <w:p>
      <w:pPr>
        <w:pStyle w:val="FirstParagraph"/>
      </w:pPr>
      <w:r>
        <w:rPr>
          <w:bCs/>
          <w:b/>
        </w:rPr>
        <w:t xml:space="preserve">Literature Review</w:t>
      </w:r>
      <w:r>
        <w:t xml:space="preserve"> </w:t>
      </w:r>
      <w:r>
        <w:t xml:space="preserve">serves as a critical synthesis of existing research, identifying gaps and opportunities for further exploration. In the context of</w:t>
      </w:r>
      <w:r>
        <w:t xml:space="preserve"> </w:t>
      </w:r>
      <w:r>
        <w:rPr>
          <w:bCs/>
          <w:b/>
        </w:rPr>
        <w:t xml:space="preserve">Education Administrator</w:t>
      </w:r>
      <w:r>
        <w:t xml:space="preserve">s operating within the dynamic environment of</w:t>
      </w:r>
      <w:r>
        <w:t xml:space="preserve"> </w:t>
      </w:r>
      <w:r>
        <w:rPr>
          <w:bCs/>
          <w:b/>
        </w:rPr>
        <w:t xml:space="preserve">Malaysia Kuala Lumpur</w:t>
      </w:r>
      <w:r>
        <w:t xml:space="preserve">, this review examines their multifaceted roles, challenges, and contributions to educational reform. The findings are particularly relevant given KL’s status as a cosmopolitan hub with diverse cultural and socioeconomic landscapes.</w:t>
      </w:r>
    </w:p>
    <w:bookmarkStart w:id="20" w:name="leadership-styles-in-malaysian-schools"/>
    <w:p>
      <w:pPr>
        <w:pStyle w:val="Heading2"/>
      </w:pPr>
      <w:r>
        <w:t xml:space="preserve">1. Leadership Styles in Malaysian Schools</w:t>
      </w:r>
    </w:p>
    <w:p>
      <w:pPr>
        <w:pStyle w:val="FirstParagraph"/>
      </w:pPr>
      <w:r>
        <w:t xml:space="preserve">The role of an</w:t>
      </w:r>
      <w:r>
        <w:t xml:space="preserve"> </w:t>
      </w:r>
      <w:r>
        <w:rPr>
          <w:bCs/>
          <w:b/>
        </w:rPr>
        <w:t xml:space="preserve">Education Administrator</w:t>
      </w:r>
      <w:r>
        <w:t xml:space="preserve"> </w:t>
      </w:r>
      <w:r>
        <w:t xml:space="preserve">in Malaysia is shaped by the country’s unique educational philosophy, which emphasizes multiculturalism, equity, and national integration. In Kuala Lumpur, administrators must navigate the complexities of managing schools with diverse student populations, including Malay-, Chinese-, and Indian-origin students. Research highlights that effective leadership in this context often combines</w:t>
      </w:r>
      <w:r>
        <w:t xml:space="preserve"> </w:t>
      </w:r>
      <w:r>
        <w:rPr>
          <w:iCs/>
          <w:i/>
        </w:rPr>
        <w:t xml:space="preserve">transformational</w:t>
      </w:r>
      <w:r>
        <w:t xml:space="preserve"> </w:t>
      </w:r>
      <w:r>
        <w:t xml:space="preserve">approaches (fostering innovation and inclusivity) with</w:t>
      </w:r>
      <w:r>
        <w:t xml:space="preserve"> </w:t>
      </w:r>
      <w:r>
        <w:rPr>
          <w:iCs/>
          <w:i/>
        </w:rPr>
        <w:t xml:space="preserve">transactional</w:t>
      </w:r>
      <w:r>
        <w:t xml:space="preserve"> </w:t>
      </w:r>
      <w:r>
        <w:t xml:space="preserve">strategies (ensuring compliance with national policies).</w:t>
      </w:r>
    </w:p>
    <w:p>
      <w:pPr>
        <w:numPr>
          <w:ilvl w:val="0"/>
          <w:numId w:val="1001"/>
        </w:numPr>
        <w:pStyle w:val="Compact"/>
      </w:pPr>
      <w:r>
        <w:rPr>
          <w:bCs/>
          <w:b/>
        </w:rPr>
        <w:t xml:space="preserve">Cultural Sensitivity:</w:t>
      </w:r>
      <w:r>
        <w:t xml:space="preserve"> </w:t>
      </w:r>
      <w:r>
        <w:t xml:space="preserve">Administrators must balance the Ministry of Education’s mandates with local community expectations, particularly in neighborhoods like Brickfields or Taman Connaught, where cultural diversity is pronounced.</w:t>
      </w:r>
    </w:p>
    <w:p>
      <w:pPr>
        <w:numPr>
          <w:ilvl w:val="0"/>
          <w:numId w:val="1001"/>
        </w:numPr>
        <w:pStyle w:val="Compact"/>
      </w:pPr>
      <w:r>
        <w:rPr>
          <w:bCs/>
          <w:b/>
        </w:rPr>
        <w:t xml:space="preserve">Technology Integration:</w:t>
      </w:r>
      <w:r>
        <w:t xml:space="preserve"> </w:t>
      </w:r>
      <w:r>
        <w:t xml:space="preserve">Studies indicate that KL-based administrators are increasingly adopting digital tools to enhance learning outcomes, aligning with Malaysia’s National Education Blueprint 2013–2025.</w:t>
      </w:r>
    </w:p>
    <w:bookmarkEnd w:id="20"/>
    <w:bookmarkStart w:id="21" w:name="Xc1a5dcf717570a9b01816faa64d82b3d4d74192"/>
    <w:p>
      <w:pPr>
        <w:pStyle w:val="Heading2"/>
      </w:pPr>
      <w:r>
        <w:t xml:space="preserve">2. Challenges Faced by Administrators in Kuala Lumpur</w:t>
      </w:r>
    </w:p>
    <w:p>
      <w:pPr>
        <w:pStyle w:val="FirstParagraph"/>
      </w:pPr>
      <w:r>
        <w:rPr>
          <w:bCs/>
          <w:b/>
        </w:rPr>
        <w:t xml:space="preserve">Malaysia Kuala Lumpur</w:t>
      </w:r>
      <w:r>
        <w:t xml:space="preserve"> </w:t>
      </w:r>
      <w:r>
        <w:t xml:space="preserve">presents unique challenges for</w:t>
      </w:r>
      <w:r>
        <w:t xml:space="preserve"> </w:t>
      </w:r>
      <w:r>
        <w:rPr>
          <w:bCs/>
          <w:b/>
        </w:rPr>
        <w:t xml:space="preserve">Education Administrators</w:t>
      </w:r>
      <w:r>
        <w:t xml:space="preserve">, including rapid urbanization, resource constraints, and the pressure to meet international benchmarks. A 2021 report by the Malaysian Institute of Education noted that administrators in KL often struggle with:</w:t>
      </w:r>
    </w:p>
    <w:p>
      <w:pPr>
        <w:numPr>
          <w:ilvl w:val="0"/>
          <w:numId w:val="1002"/>
        </w:numPr>
        <w:pStyle w:val="Compact"/>
      </w:pPr>
      <w:r>
        <w:rPr>
          <w:bCs/>
          <w:b/>
        </w:rPr>
        <w:t xml:space="preserve">Resource Allocation:</w:t>
      </w:r>
      <w:r>
        <w:t xml:space="preserve"> </w:t>
      </w:r>
      <w:r>
        <w:t xml:space="preserve">Schools in affluent areas like Ampang receive more funding than those in underserved districts such as Setapak, creating disparities in infrastructure and teacher training.</w:t>
      </w:r>
    </w:p>
    <w:p>
      <w:pPr>
        <w:numPr>
          <w:ilvl w:val="0"/>
          <w:numId w:val="1002"/>
        </w:numPr>
        <w:pStyle w:val="Compact"/>
      </w:pPr>
      <w:r>
        <w:rPr>
          <w:bCs/>
          <w:b/>
        </w:rPr>
        <w:t xml:space="preserve">Cultural Diversity:</w:t>
      </w:r>
      <w:r>
        <w:t xml:space="preserve"> </w:t>
      </w:r>
      <w:r>
        <w:t xml:space="preserve">Managing conflicts arising from religious or ethnic differences requires nuanced leadership, particularly in co-educational institutions.</w:t>
      </w:r>
    </w:p>
    <w:p>
      <w:pPr>
        <w:numPr>
          <w:ilvl w:val="0"/>
          <w:numId w:val="1002"/>
        </w:numPr>
        <w:pStyle w:val="Compact"/>
      </w:pPr>
      <w:r>
        <w:rPr>
          <w:bCs/>
          <w:b/>
        </w:rPr>
        <w:t xml:space="preserve">Policy Compliance:</w:t>
      </w:r>
      <w:r>
        <w:t xml:space="preserve"> </w:t>
      </w:r>
      <w:r>
        <w:t xml:space="preserve">Adapting national policies (e.g., the 1Malaysia Education Program) to localized needs without compromising equity is a persistent challenge.</w:t>
      </w:r>
    </w:p>
    <w:bookmarkEnd w:id="21"/>
    <w:bookmarkStart w:id="22" w:name="policy-implementation-and-reform-efforts"/>
    <w:p>
      <w:pPr>
        <w:pStyle w:val="Heading2"/>
      </w:pPr>
      <w:r>
        <w:t xml:space="preserve">3. Policy Implementation and Reform Efforts</w:t>
      </w:r>
    </w:p>
    <w:p>
      <w:pPr>
        <w:pStyle w:val="FirstParagraph"/>
      </w:pPr>
      <w:r>
        <w:t xml:space="preserve">The role of</w:t>
      </w:r>
      <w:r>
        <w:t xml:space="preserve"> </w:t>
      </w:r>
      <w:r>
        <w:rPr>
          <w:bCs/>
          <w:b/>
        </w:rPr>
        <w:t xml:space="preserve">Education Administrators</w:t>
      </w:r>
      <w:r>
        <w:t xml:space="preserve"> </w:t>
      </w:r>
      <w:r>
        <w:t xml:space="preserve">in KL is pivotal in translating national policies into actionable strategies. For example, the implementation of the School-Based Management (SBM) policy has empowered administrators to take greater responsibility for decision-making. However, a 2020 study published in the</w:t>
      </w:r>
      <w:r>
        <w:t xml:space="preserve"> </w:t>
      </w:r>
      <w:r>
        <w:rPr>
          <w:iCs/>
          <w:i/>
        </w:rPr>
        <w:t xml:space="preserve">International Journal of Educational Leadership</w:t>
      </w:r>
      <w:r>
        <w:t xml:space="preserve"> </w:t>
      </w:r>
      <w:r>
        <w:t xml:space="preserve">found that SBM’s success varies across regions due to differences in administrative capacity and community engagement.</w:t>
      </w:r>
    </w:p>
    <w:p>
      <w:pPr>
        <w:pStyle w:val="BodyText"/>
      </w:pPr>
      <w:r>
        <w:t xml:space="preserve">In KL, administrators have spearheaded initiatives such as:</w:t>
      </w:r>
    </w:p>
    <w:p>
      <w:pPr>
        <w:numPr>
          <w:ilvl w:val="0"/>
          <w:numId w:val="1003"/>
        </w:numPr>
        <w:pStyle w:val="Compact"/>
      </w:pPr>
      <w:r>
        <w:rPr>
          <w:bCs/>
          <w:b/>
        </w:rPr>
        <w:t xml:space="preserve">Private-Sector Collaboration:</w:t>
      </w:r>
      <w:r>
        <w:t xml:space="preserve"> </w:t>
      </w:r>
      <w:r>
        <w:t xml:space="preserve">Partnering with organizations like the Malaysian Institute of Microelectronic Engineers (MIMET) to integrate STEM education into curricula.</w:t>
      </w:r>
    </w:p>
    <w:p>
      <w:pPr>
        <w:numPr>
          <w:ilvl w:val="0"/>
          <w:numId w:val="1003"/>
        </w:numPr>
        <w:pStyle w:val="Compact"/>
      </w:pPr>
      <w:r>
        <w:rPr>
          <w:bCs/>
          <w:b/>
        </w:rPr>
        <w:t xml:space="preserve">Sustainable Practices:</w:t>
      </w:r>
      <w:r>
        <w:t xml:space="preserve"> </w:t>
      </w:r>
      <w:r>
        <w:t xml:space="preserve">Promoting green schools in response to global climate goals, reflecting KL’s status as a regional leader in sustainability.</w:t>
      </w:r>
    </w:p>
    <w:bookmarkEnd w:id="22"/>
    <w:bookmarkStart w:id="23" w:name="X9bbb563720386f910ebeb8e87d41b80b2b6c015"/>
    <w:p>
      <w:pPr>
        <w:pStyle w:val="Heading2"/>
      </w:pPr>
      <w:r>
        <w:t xml:space="preserve">4. Impact on Student Outcomes and Institutional Development</w:t>
      </w:r>
    </w:p>
    <w:p>
      <w:pPr>
        <w:pStyle w:val="FirstParagraph"/>
      </w:pPr>
      <w:r>
        <w:t xml:space="preserve">The effectiveness of an</w:t>
      </w:r>
      <w:r>
        <w:t xml:space="preserve"> </w:t>
      </w:r>
      <w:r>
        <w:rPr>
          <w:bCs/>
          <w:b/>
        </w:rPr>
        <w:t xml:space="preserve">Education Administrator</w:t>
      </w:r>
      <w:r>
        <w:t xml:space="preserve"> </w:t>
      </w:r>
      <w:r>
        <w:t xml:space="preserve">directly influences student performance and institutional growth. A 2019 study by the University of Malaya found that schools in KL with proactive administrators reported higher PISA (Programme for International Student Assessment) scores in reading and mathematics compared to those with less engaged leadership.</w:t>
      </w:r>
    </w:p>
    <w:p>
      <w:pPr>
        <w:pStyle w:val="BodyText"/>
      </w:pPr>
      <w:r>
        <w:t xml:space="preserve">Key factors contributing to this impact include:</w:t>
      </w:r>
    </w:p>
    <w:p>
      <w:pPr>
        <w:numPr>
          <w:ilvl w:val="0"/>
          <w:numId w:val="1004"/>
        </w:numPr>
        <w:pStyle w:val="Compact"/>
      </w:pPr>
      <w:r>
        <w:rPr>
          <w:bCs/>
          <w:b/>
        </w:rPr>
        <w:t xml:space="preserve">Teacher Development:</w:t>
      </w:r>
      <w:r>
        <w:t xml:space="preserve"> </w:t>
      </w:r>
      <w:r>
        <w:t xml:space="preserve">Administrators who prioritize professional development programs for teachers foster a culture of continuous improvement.</w:t>
      </w:r>
    </w:p>
    <w:p>
      <w:pPr>
        <w:numPr>
          <w:ilvl w:val="0"/>
          <w:numId w:val="1004"/>
        </w:numPr>
        <w:pStyle w:val="Compact"/>
      </w:pPr>
      <w:r>
        <w:rPr>
          <w:bCs/>
          <w:b/>
        </w:rPr>
        <w:t xml:space="preserve">Community Engagement:</w:t>
      </w:r>
      <w:r>
        <w:t xml:space="preserve"> </w:t>
      </w:r>
      <w:r>
        <w:t xml:space="preserve">Schools in KL that involve parents and local stakeholders in decision-making processes experience higher student attendance and morale.</w:t>
      </w:r>
    </w:p>
    <w:bookmarkEnd w:id="23"/>
    <w:bookmarkStart w:id="24" w:name="future-directions-for-research"/>
    <w:p>
      <w:pPr>
        <w:pStyle w:val="Heading2"/>
      </w:pPr>
      <w:r>
        <w:t xml:space="preserve">5. Future Directions for Research</w:t>
      </w:r>
    </w:p>
    <w:p>
      <w:pPr>
        <w:pStyle w:val="FirstParagraph"/>
      </w:pPr>
      <w:r>
        <w:t xml:space="preserve">The literature underscores the need for more localized studies on the challenges faced by</w:t>
      </w:r>
      <w:r>
        <w:t xml:space="preserve"> </w:t>
      </w:r>
      <w:r>
        <w:rPr>
          <w:bCs/>
          <w:b/>
        </w:rPr>
        <w:t xml:space="preserve">Education Administrators</w:t>
      </w:r>
      <w:r>
        <w:t xml:space="preserve"> </w:t>
      </w:r>
      <w:r>
        <w:t xml:space="preserve">in KL. Areas requiring further exploration include:</w:t>
      </w:r>
    </w:p>
    <w:p>
      <w:pPr>
        <w:numPr>
          <w:ilvl w:val="0"/>
          <w:numId w:val="1005"/>
        </w:numPr>
        <w:pStyle w:val="Compact"/>
      </w:pPr>
      <w:r>
        <w:rPr>
          <w:bCs/>
          <w:b/>
        </w:rPr>
        <w:t xml:space="preserve">Digital Divide:</w:t>
      </w:r>
      <w:r>
        <w:t xml:space="preserve"> </w:t>
      </w:r>
      <w:r>
        <w:t xml:space="preserve">How administrators address inequities in access to technology, especially in low-income areas.</w:t>
      </w:r>
    </w:p>
    <w:p>
      <w:pPr>
        <w:numPr>
          <w:ilvl w:val="0"/>
          <w:numId w:val="1005"/>
        </w:numPr>
        <w:pStyle w:val="Compact"/>
      </w:pPr>
      <w:r>
        <w:rPr>
          <w:bCs/>
          <w:b/>
        </w:rPr>
        <w:t xml:space="preserve">Mental Health Support:</w:t>
      </w:r>
      <w:r>
        <w:t xml:space="preserve"> </w:t>
      </w:r>
      <w:r>
        <w:t xml:space="preserve">Strategies for integrating mental health resources into school policies amid rising student stress levels.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Malaysia Kuala Lumpur</w:t>
      </w:r>
      <w:r>
        <w:t xml:space="preserve">. Their ability to navigate cultural diversity, implement national policies, and foster inclusive learning environments is essential for achieving equity and excellence. Future research must continue to focus on contextualizing these challenges within KL’s unique socio-political framework, ensuring that administrative practices align with both local needs and global educational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Education Administrators in Malaysia Kuala Lumpur</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file>