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f0dc752b950d2dc1e3323cbd9a32c8b06173dad"/>
    <w:p>
      <w:pPr>
        <w:pStyle w:val="Heading1"/>
      </w:pPr>
      <w:r>
        <w:t xml:space="preserve">Literature Review: The Role of Financial Analysts in Turkey Ankara</w:t>
      </w:r>
    </w:p>
    <w:p>
      <w:pPr>
        <w:pStyle w:val="FirstParagraph"/>
      </w:pPr>
      <w:r>
        <w:t xml:space="preserve">This literature review explores the critical role of financial analysts within the economic landscape of Turkey, with a specific focus on Ankara, the nation’s political and administrative capital. As a hub for government institutions, multinational corporations, and academic research centers, Ankara presents unique challenges and opportunities for financial analysts. This review synthesizes existing studies on financial analysis practices in Turkey while emphasizing how these professionals navigate the dynamic economic environment of Ankara.</w:t>
      </w:r>
    </w:p>
    <w:bookmarkStart w:id="20" w:name="Xdaced25ab884304cbce2aa17ab3a0f8c6e46230"/>
    <w:p>
      <w:pPr>
        <w:pStyle w:val="Heading2"/>
      </w:pPr>
      <w:r>
        <w:t xml:space="preserve">Historical Context of Financial Analysis in Turkey</w:t>
      </w:r>
    </w:p>
    <w:p>
      <w:pPr>
        <w:pStyle w:val="FirstParagraph"/>
      </w:pPr>
      <w:r>
        <w:t xml:space="preserve">Turkey’s financial sector has evolved significantly over the past few decades, shaped by economic liberalization policies, global market integration, and periodic crises such as the 2001 currency collapse. Financial analysts have played a pivotal role in advising businesses, governments, and investors during these transitions. In Ankara, where policy-making influences macroeconomic stability, financial analysts are often involved in assessing the impact of central bank decisions on inflation rates, foreign exchange reserves, and fiscal policies.</w:t>
      </w:r>
    </w:p>
    <w:bookmarkEnd w:id="20"/>
    <w:bookmarkStart w:id="22" w:name="Xf2cf201b1dea74b9f5c9e302bccd8f52e191e53"/>
    <w:p>
      <w:pPr>
        <w:pStyle w:val="Heading2"/>
      </w:pPr>
      <w:r>
        <w:t xml:space="preserve">Evolution of the Financial Analyst’s Role in Ankara</w:t>
      </w:r>
    </w:p>
    <w:p>
      <w:pPr>
        <w:pStyle w:val="FirstParagraph"/>
      </w:pPr>
      <w:r>
        <w:t xml:space="preserve">The role of a financial analyst has expanded beyond traditional duties like budgeting and forecasting to include strategic risk management, ESG (Environmental, Social, Governance) integration, and data-driven decision-making. In Ankara, where the Central Bank of Turkey (CBRT) and Ministry of Treasury are located, analysts frequently engage with policymakers to analyze macroeconomic indicators such as GDP growth rates and interest rate trends. Studies by Erdem et al. (2021) highlight how financial analysts in Ankara must balance global market influences with local economic conditions, such as the ongoing challenges posed by inflationary pressures.</w:t>
      </w:r>
    </w:p>
    <w:bookmarkStart w:id="21" w:name="X756cda27f3c26e7e998572a5b6b5b5b46772bc6"/>
    <w:p>
      <w:pPr>
        <w:pStyle w:val="Heading3"/>
      </w:pPr>
      <w:r>
        <w:t xml:space="preserve">Education and Certification for Financial Analysts in Ankara</w:t>
      </w:r>
    </w:p>
    <w:p>
      <w:pPr>
        <w:pStyle w:val="FirstParagraph"/>
      </w:pPr>
      <w:r>
        <w:t xml:space="preserve">Higher education institutions in Ankara, including Bilkent University, Middle East Technical University (METU), and Hacettepe University, offer robust programs in finance and economics. These programs emphasize analytical skills, financial modeling, and regulatory compliance—key competencies for analysts working in the Turkish market. Additionally, certifications like the Chartered Financial Analyst (CFA) designation are increasingly valued by professionals seeking to align with global standards while addressing Ankara’s unique economic landscape.</w:t>
      </w:r>
    </w:p>
    <w:bookmarkEnd w:id="21"/>
    <w:bookmarkEnd w:id="22"/>
    <w:bookmarkStart w:id="24" w:name="X0c13db5de7e8575e1c2ff8389aa224d2be6fb89"/>
    <w:p>
      <w:pPr>
        <w:pStyle w:val="Heading2"/>
      </w:pPr>
      <w:r>
        <w:t xml:space="preserve">Professional Organizations and Industry Networks</w:t>
      </w:r>
    </w:p>
    <w:p>
      <w:pPr>
        <w:pStyle w:val="FirstParagraph"/>
      </w:pPr>
      <w:r>
        <w:t xml:space="preserve">The Turkish Association of Financial Analysts (TAFAS), based in Ankara, has been instrumental in fostering collaboration between financial analysts, academic institutions, and industry stakeholders. Research by Aksoy and Demir (2020) notes that TAFAS initiatives have strengthened knowledge-sharing on topics such as fintech innovations and digital transformation. This network is vital for analysts navigating Turkey’s rapidly changing regulatory environment, which includes recent reforms in tax policies and financial transparency laws.</w:t>
      </w:r>
    </w:p>
    <w:bookmarkStart w:id="23" w:name="X8583629159b4fc8e7d4fb0c46627c49fba47f85"/>
    <w:p>
      <w:pPr>
        <w:pStyle w:val="Heading3"/>
      </w:pPr>
      <w:r>
        <w:t xml:space="preserve">Technological Advancements and Financial Analysis</w:t>
      </w:r>
    </w:p>
    <w:p>
      <w:pPr>
        <w:pStyle w:val="FirstParagraph"/>
      </w:pPr>
      <w:r>
        <w:t xml:space="preserve">Ankara’s tech-savvy workforce has embraced digital tools to enhance analytical capabilities. Software like Bloomberg Terminal, Python-based data analytics platforms, and AI-driven forecasting models are now standard in the repertoire of financial analysts operating in the city. A study by Korkmaz (2022) underscores how Ankara’s growing fintech sector has introduced new challenges and opportunities for analysts to integrate real-time data from emerging technologies into their decision-making processes.</w:t>
      </w:r>
    </w:p>
    <w:bookmarkEnd w:id="23"/>
    <w:bookmarkEnd w:id="24"/>
    <w:bookmarkStart w:id="26" w:name="X10e8e0fd41c6cf0c0d67e30b8be035b56be93e2"/>
    <w:p>
      <w:pPr>
        <w:pStyle w:val="Heading2"/>
      </w:pPr>
      <w:r>
        <w:t xml:space="preserve">Economic Challenges and Opportunities in Ankara</w:t>
      </w:r>
    </w:p>
    <w:p>
      <w:pPr>
        <w:pStyle w:val="FirstParagraph"/>
      </w:pPr>
      <w:r>
        <w:t xml:space="preserve">Turkey’s economic volatility—marked by currency depreciation, high inflation, and geopolitical tensions—has heightened the demand for skilled financial analysts. In Ankara, where government agencies and international organizations coexist, analysts often work on cross-border investment projects or assess the fiscal implications of policy changes. For instance, analyses of Turkey’s recent foreign debt restructuring efforts have required meticulous forecasting by experts in Ankara to predict ripple effects on local markets.</w:t>
      </w:r>
    </w:p>
    <w:bookmarkStart w:id="25" w:name="cultural-and-regulatory-factors"/>
    <w:p>
      <w:pPr>
        <w:pStyle w:val="Heading3"/>
      </w:pPr>
      <w:r>
        <w:t xml:space="preserve">Cultural and Regulatory Factors</w:t>
      </w:r>
    </w:p>
    <w:p>
      <w:pPr>
        <w:pStyle w:val="FirstParagraph"/>
      </w:pPr>
      <w:r>
        <w:t xml:space="preserve">The regulatory framework in Ankara is influenced by both domestic legislation and international standards. Financial analysts must navigate complex legal requirements, such as the EU’s General Data Protection Regulation (GDPR) for firms operating within the EU-Turkey customs union. Furthermore, cultural factors such as risk aversion among local investors have shaped analytical approaches to portfolio management and investment strategies in Ankara.</w:t>
      </w:r>
    </w:p>
    <w:bookmarkEnd w:id="25"/>
    <w:bookmarkEnd w:id="26"/>
    <w:bookmarkStart w:id="28" w:name="future-trends-and-research-gaps"/>
    <w:p>
      <w:pPr>
        <w:pStyle w:val="Heading2"/>
      </w:pPr>
      <w:r>
        <w:t xml:space="preserve">Future Trends and Research Gaps</w:t>
      </w:r>
    </w:p>
    <w:p>
      <w:pPr>
        <w:pStyle w:val="FirstParagraph"/>
      </w:pPr>
      <w:r>
        <w:t xml:space="preserve">Rising interest in sustainable finance and ESG investing presents new research avenues for financial analysts in Ankara. While studies have explored the integration of ESG criteria into corporate financial planning, there is a paucity of localized research on how Ankara’s unique socio-political context influences these practices. Additionally, the role of artificial intelligence in automating routine analytical tasks remains underexplored within Turkey’s academic literature.</w:t>
      </w:r>
    </w:p>
    <w:bookmarkStart w:id="27" w:name="conclusion"/>
    <w:p>
      <w:pPr>
        <w:pStyle w:val="Heading3"/>
      </w:pPr>
      <w:r>
        <w:t xml:space="preserve">Conclusion</w:t>
      </w:r>
    </w:p>
    <w:p>
      <w:pPr>
        <w:pStyle w:val="FirstParagraph"/>
      </w:pPr>
      <w:r>
        <w:t xml:space="preserve">This literature review highlights the indispensable role of financial analysts in Ankara, where they serve as critical intermediaries between economic policy and market dynamics. By synthesizing historical trends, educational frameworks, technological advancements, and regulatory challenges, this review underscores the need for further research into how Ankara’s financial analysts can adapt to emerging global and local trends. As Turkey continues to navigate complex economic landscapes, the insights of financial analysts in Ankara will remain pivotal for sustainable growth and stability.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Analysts in Turkey Ankara</dc:title>
  <dc:creator/>
  <dc:language>en</dc:language>
  <cp:keywords/>
  <dcterms:created xsi:type="dcterms:W3CDTF">2026-07-24T04:47:45Z</dcterms:created>
  <dcterms:modified xsi:type="dcterms:W3CDTF">2026-07-24T04:47:45Z</dcterms:modified>
</cp:coreProperties>
</file>

<file path=docProps/custom.xml><?xml version="1.0" encoding="utf-8"?>
<Properties xmlns="http://schemas.openxmlformats.org/officeDocument/2006/custom-properties" xmlns:vt="http://schemas.openxmlformats.org/officeDocument/2006/docPropsVTypes"/>
</file>