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35" w:name="X2ccdc3a1c6fef4f388fc33efec495996f14b241"/>
    <w:p>
      <w:pPr>
        <w:pStyle w:val="Heading1"/>
      </w:pPr>
      <w:r>
        <w:t xml:space="preserve">Literature Review: The Role of the Judge in Germany Frankfurt</w:t>
      </w:r>
    </w:p>
    <w:p>
      <w:pPr>
        <w:pStyle w:val="FirstParagraph"/>
      </w:pPr>
      <w:r>
        <w:t xml:space="preserve">The judiciary system in Germany, particularly within the city of Frankfurt, plays a pivotal role in upholding legal principles and ensuring justice. This literature review explores the theoretical foundations, historical evolution, and contemporary challenges faced by judges operating within the German legal framework, with a specific focus on Frankfurt. The analysis integrates scholarly works on judicial philosophy, comparative law studies, and case law from German courts to contextualize the unique position of judges in this region.</w:t>
      </w:r>
    </w:p>
    <w:bookmarkStart w:id="21" w:name="X654b8fbd6380777acd28a82300a0e4d285689a7"/>
    <w:p>
      <w:pPr>
        <w:pStyle w:val="Heading2"/>
      </w:pPr>
      <w:r>
        <w:t xml:space="preserve">Historical Evolution of Judicial Roles in Germany</w:t>
      </w:r>
    </w:p>
    <w:p>
      <w:pPr>
        <w:pStyle w:val="FirstParagraph"/>
      </w:pPr>
      <w:r>
        <w:t xml:space="preserve">The role of the judge in Germany has deep historical roots, shaped by Roman-Germanic legal traditions and Enlightenment-era reforms. As noted by</w:t>
      </w:r>
      <w:r>
        <w:t xml:space="preserve"> </w:t>
      </w:r>
      <w:hyperlink r:id="rId20">
        <w:r>
          <w:rPr>
            <w:rStyle w:val="Hyperlink"/>
          </w:rPr>
          <w:t xml:space="preserve">Scholar1 (2015)</w:t>
        </w:r>
      </w:hyperlink>
      <w:r>
        <w:t xml:space="preserve">, the German judicial system evolved from a feudal structure into a centralized framework under the influence of the Napoleonic Code and later, the Weimar Constitution. In Frankfurt, this transformation was marked by its designation as a key legal hub in Hesse during the 19th century. The establishment of specialized courts, such as those handling financial disputes due to Frankfurt's status as Germany’s financial center, reflects this historical adaptation.</w:t>
      </w:r>
    </w:p>
    <w:bookmarkEnd w:id="21"/>
    <w:bookmarkStart w:id="24" w:name="jurisprudential-foundations"/>
    <w:p>
      <w:pPr>
        <w:pStyle w:val="Heading2"/>
      </w:pPr>
      <w:r>
        <w:t xml:space="preserve">Jurisprudential Foundations</w:t>
      </w:r>
    </w:p>
    <w:p>
      <w:pPr>
        <w:pStyle w:val="FirstParagraph"/>
      </w:pPr>
      <w:r>
        <w:t xml:space="preserve">German judicial philosophy is often associated with legal positivism and natural law theories.</w:t>
      </w:r>
      <w:r>
        <w:t xml:space="preserve"> </w:t>
      </w:r>
      <w:hyperlink r:id="rId22">
        <w:r>
          <w:rPr>
            <w:rStyle w:val="Hyperlink"/>
          </w:rPr>
          <w:t xml:space="preserve">Scholar2 (2018)</w:t>
        </w:r>
      </w:hyperlink>
      <w:r>
        <w:t xml:space="preserve"> </w:t>
      </w:r>
      <w:r>
        <w:t xml:space="preserve">argues that judges in Germany must balance these dual influences, particularly in cases involving constitutional law. For instance, the Federal Constitutional Court’s rulings on privacy rights under the Basic Law (Grundgesetz) demonstrate this tension. In Frankfurt, judges frequently adjudicate cases related to financial regulation and EU law, requiring a nuanced understanding of both national and transnational legal principles.</w:t>
      </w:r>
    </w:p>
    <w:p>
      <w:pPr>
        <w:pStyle w:val="BodyText"/>
      </w:pPr>
      <w:r>
        <w:t xml:space="preserve">Additionally,</w:t>
      </w:r>
      <w:r>
        <w:t xml:space="preserve"> </w:t>
      </w:r>
      <w:hyperlink r:id="rId23">
        <w:r>
          <w:rPr>
            <w:rStyle w:val="Hyperlink"/>
          </w:rPr>
          <w:t xml:space="preserve">Scholar3 (2020)</w:t>
        </w:r>
      </w:hyperlink>
      <w:r>
        <w:t xml:space="preserve"> </w:t>
      </w:r>
      <w:r>
        <w:t xml:space="preserve">emphasizes the importance of judicial independence in Germany. This is especially relevant in Frankfurt, where judges preside over cases involving high-profile financial institutions or international corporations. The literature underscores that this independence is safeguarded by statutory provisions and institutional safeguards, such as the prohibition of political interference outlined in Article 97 of the Basic Law.</w:t>
      </w:r>
    </w:p>
    <w:bookmarkEnd w:id="24"/>
    <w:bookmarkStart w:id="27" w:name="Xf9d8b622f22607f8891b9ecef18407eb603b13e"/>
    <w:p>
      <w:pPr>
        <w:pStyle w:val="Heading2"/>
      </w:pPr>
      <w:r>
        <w:t xml:space="preserve">Modern Challenges Facing Judges in Frankfurt</w:t>
      </w:r>
    </w:p>
    <w:p>
      <w:pPr>
        <w:pStyle w:val="FirstParagraph"/>
      </w:pPr>
      <w:r>
        <w:t xml:space="preserve">Contemporary judges in Frankfurt operate within a dynamic legal environment influenced by globalization, digitalization, and European Union regulations.</w:t>
      </w:r>
      <w:r>
        <w:t xml:space="preserve"> </w:t>
      </w:r>
      <w:hyperlink r:id="rId25">
        <w:r>
          <w:rPr>
            <w:rStyle w:val="Hyperlink"/>
          </w:rPr>
          <w:t xml:space="preserve">Scholar4 (2019)</w:t>
        </w:r>
      </w:hyperlink>
      <w:r>
        <w:t xml:space="preserve"> </w:t>
      </w:r>
      <w:r>
        <w:t xml:space="preserve">highlights the complexities of adjudicating cases involving blockchain technology or cross-border data privacy under the GDPR (General Data Protection Regulation). Frankfurt’s prominence as a financial center means that judges here are frequently tasked with interpreting EU directives on banking supervision, such as those issued by the European Central Bank.</w:t>
      </w:r>
    </w:p>
    <w:p>
      <w:pPr>
        <w:pStyle w:val="BodyText"/>
      </w:pPr>
      <w:r>
        <w:t xml:space="preserve">The literature also addresses challenges related to judicial workload and efficiency.</w:t>
      </w:r>
      <w:r>
        <w:t xml:space="preserve"> </w:t>
      </w:r>
      <w:hyperlink r:id="rId26">
        <w:r>
          <w:rPr>
            <w:rStyle w:val="Hyperlink"/>
          </w:rPr>
          <w:t xml:space="preserve">Scholar5 (2021)</w:t>
        </w:r>
      </w:hyperlink>
      <w:r>
        <w:t xml:space="preserve"> </w:t>
      </w:r>
      <w:r>
        <w:t xml:space="preserve">notes that Frankfurt’s courts face increasing pressure due to the volume of cases arising from financial litigation, corporate disputes, and immigration law. This has led to calls for reform in procedural law to expedite justice while maintaining high standards of legal rigor.</w:t>
      </w:r>
    </w:p>
    <w:bookmarkEnd w:id="27"/>
    <w:bookmarkStart w:id="30" w:name="comparative-legal-perspectives"/>
    <w:p>
      <w:pPr>
        <w:pStyle w:val="Heading2"/>
      </w:pPr>
      <w:r>
        <w:t xml:space="preserve">Comparative Legal Perspectives</w:t>
      </w:r>
    </w:p>
    <w:p>
      <w:pPr>
        <w:pStyle w:val="FirstParagraph"/>
      </w:pPr>
      <w:r>
        <w:t xml:space="preserve">Comparative studies often contrast the German judicial model with those of common-law systems, such as the United States or the United Kingdom.</w:t>
      </w:r>
      <w:r>
        <w:t xml:space="preserve"> </w:t>
      </w:r>
      <w:hyperlink r:id="rId28">
        <w:r>
          <w:rPr>
            <w:rStyle w:val="Hyperlink"/>
          </w:rPr>
          <w:t xml:space="preserve">Scholar6 (2017)</w:t>
        </w:r>
      </w:hyperlink>
      <w:r>
        <w:t xml:space="preserve"> </w:t>
      </w:r>
      <w:r>
        <w:t xml:space="preserve">observes that German judges rely heavily on codified statutes and precedent, whereas their counterparts in common-law jurisdictions emphasize judicial discretion. In Frankfurt, this statutory approach is evident in the meticulous application of the Civil Code (BGB) and Criminal Code (StGB) to complex cases involving commercial law or environmental regulations.</w:t>
      </w:r>
    </w:p>
    <w:p>
      <w:pPr>
        <w:pStyle w:val="BodyText"/>
      </w:pPr>
      <w:r>
        <w:t xml:space="preserve">Moreover,</w:t>
      </w:r>
      <w:r>
        <w:t xml:space="preserve"> </w:t>
      </w:r>
      <w:hyperlink r:id="rId29">
        <w:r>
          <w:rPr>
            <w:rStyle w:val="Hyperlink"/>
          </w:rPr>
          <w:t xml:space="preserve">Scholar7 (2022)</w:t>
        </w:r>
      </w:hyperlink>
      <w:r>
        <w:t xml:space="preserve"> </w:t>
      </w:r>
      <w:r>
        <w:t xml:space="preserve">explores how Frankfurt’s judges navigate transnational legal conflicts, particularly in cases involving international trade agreements or the application of EU law. The city’s role as a hub for European financial institutions necessitates an understanding of overlapping jurisdictions and the principles of direct effect and supremacy of EU law.</w:t>
      </w:r>
    </w:p>
    <w:bookmarkEnd w:id="30"/>
    <w:bookmarkStart w:id="33" w:name="the-role-of-judicial-ethics-and-training"/>
    <w:p>
      <w:pPr>
        <w:pStyle w:val="Heading2"/>
      </w:pPr>
      <w:r>
        <w:t xml:space="preserve">The Role of Judicial Ethics and Training</w:t>
      </w:r>
    </w:p>
    <w:p>
      <w:pPr>
        <w:pStyle w:val="FirstParagraph"/>
      </w:pPr>
      <w:r>
        <w:t xml:space="preserve">Judicial ethics are a cornerstone of the German legal system, with Frankfurt’s judges required to adhere to strict codes outlined in the Judges’ Code (Gerichtsverfassungsgesetz).</w:t>
      </w:r>
      <w:r>
        <w:t xml:space="preserve"> </w:t>
      </w:r>
      <w:hyperlink r:id="rId31">
        <w:r>
          <w:rPr>
            <w:rStyle w:val="Hyperlink"/>
          </w:rPr>
          <w:t xml:space="preserve">Scholar8 (2016)</w:t>
        </w:r>
      </w:hyperlink>
      <w:r>
        <w:t xml:space="preserve"> </w:t>
      </w:r>
      <w:r>
        <w:t xml:space="preserve">highlights the importance of continuous professional development for judges, particularly in areas such as digital forensics or international human rights law. This is especially relevant in Frankfurt, where judges may encounter cases with global implications, requiring specialized knowledge beyond traditional legal training.</w:t>
      </w:r>
    </w:p>
    <w:p>
      <w:pPr>
        <w:pStyle w:val="BodyText"/>
      </w:pPr>
      <w:r>
        <w:t xml:space="preserve">Training programs for judges in Frankfurt often include interdisciplinary modules on economics and technology to address the intersection of law and modern industry.</w:t>
      </w:r>
      <w:r>
        <w:t xml:space="preserve"> </w:t>
      </w:r>
      <w:hyperlink r:id="rId32">
        <w:r>
          <w:rPr>
            <w:rStyle w:val="Hyperlink"/>
          </w:rPr>
          <w:t xml:space="preserve">Scholar9 (2023)</w:t>
        </w:r>
      </w:hyperlink>
      <w:r>
        <w:t xml:space="preserve"> </w:t>
      </w:r>
      <w:r>
        <w:t xml:space="preserve">argues that this approach enhances the judiciary’s ability to deliver equitable outcomes in complex, high-stakes cases.</w:t>
      </w:r>
    </w:p>
    <w:bookmarkEnd w:id="33"/>
    <w:bookmarkStart w:id="34" w:name="conclusion"/>
    <w:p>
      <w:pPr>
        <w:pStyle w:val="Heading2"/>
      </w:pPr>
      <w:r>
        <w:t xml:space="preserve">Conclusion</w:t>
      </w:r>
    </w:p>
    <w:p>
      <w:pPr>
        <w:pStyle w:val="FirstParagraph"/>
      </w:pPr>
      <w:r>
        <w:t xml:space="preserve">The role of the judge in Germany Frankfurt is a multifaceted one, shaped by historical evolution, jurisprudential theory, and contemporary legal challenges. This literature review has demonstrated that Frankfurt’s judges operate within a framework that combines statutory precision with adaptability to global trends. As Germany continues to navigate the complexities of digitalization and international law, the judiciary in Frankfurt will remain a critical pillar of legal stability and innovation.</w:t>
      </w:r>
    </w:p>
    <w:p>
      <w:pPr>
        <w:pStyle w:val="BodyText"/>
      </w:pPr>
      <w:r>
        <w:t xml:space="preserve">Future research should focus on evaluating the impact of emerging technologies, such as AI-driven legal analysis, on judicial decision-making. Additionally, comparative studies examining how Frankfurt’s judges differ from those in other European financial centers could provide further insights into the unique dynamics of this region’s legal system.</w:t>
      </w:r>
    </w:p>
    <w:p>
      <w:pPr>
        <w:pStyle w:val="BodyText"/>
      </w:pPr>
      <w:r>
        <w:t xml:space="preserv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example.com/scholar1" TargetMode="External" /><Relationship Type="http://schemas.openxmlformats.org/officeDocument/2006/relationships/hyperlink" Id="rId22" Target="https://www.example.com/scholar2" TargetMode="External" /><Relationship Type="http://schemas.openxmlformats.org/officeDocument/2006/relationships/hyperlink" Id="rId23" Target="https://www.example.com/scholar3" TargetMode="External" /><Relationship Type="http://schemas.openxmlformats.org/officeDocument/2006/relationships/hyperlink" Id="rId25" Target="https://www.example.com/scholar4" TargetMode="External" /><Relationship Type="http://schemas.openxmlformats.org/officeDocument/2006/relationships/hyperlink" Id="rId26" Target="https://www.example.com/scholar5" TargetMode="External" /><Relationship Type="http://schemas.openxmlformats.org/officeDocument/2006/relationships/hyperlink" Id="rId28" Target="https://www.example.com/scholar6" TargetMode="External" /><Relationship Type="http://schemas.openxmlformats.org/officeDocument/2006/relationships/hyperlink" Id="rId29" Target="https://www.example.com/scholar7" TargetMode="External" /><Relationship Type="http://schemas.openxmlformats.org/officeDocument/2006/relationships/hyperlink" Id="rId31" Target="https://www.example.com/scholar8" TargetMode="External" /><Relationship Type="http://schemas.openxmlformats.org/officeDocument/2006/relationships/hyperlink" Id="rId32" Target="https://www.example.com/scholar9" TargetMode="External" /></Relationships>
</file>

<file path=word/_rels/footnotes.xml.rels><?xml version="1.0" encoding="UTF-8"?><Relationships xmlns="http://schemas.openxmlformats.org/package/2006/relationships"><Relationship Type="http://schemas.openxmlformats.org/officeDocument/2006/relationships/hyperlink" Id="rId20" Target="https://www.example.com/scholar1" TargetMode="External" /><Relationship Type="http://schemas.openxmlformats.org/officeDocument/2006/relationships/hyperlink" Id="rId22" Target="https://www.example.com/scholar2" TargetMode="External" /><Relationship Type="http://schemas.openxmlformats.org/officeDocument/2006/relationships/hyperlink" Id="rId23" Target="https://www.example.com/scholar3" TargetMode="External" /><Relationship Type="http://schemas.openxmlformats.org/officeDocument/2006/relationships/hyperlink" Id="rId25" Target="https://www.example.com/scholar4" TargetMode="External" /><Relationship Type="http://schemas.openxmlformats.org/officeDocument/2006/relationships/hyperlink" Id="rId26" Target="https://www.example.com/scholar5" TargetMode="External" /><Relationship Type="http://schemas.openxmlformats.org/officeDocument/2006/relationships/hyperlink" Id="rId28" Target="https://www.example.com/scholar6" TargetMode="External" /><Relationship Type="http://schemas.openxmlformats.org/officeDocument/2006/relationships/hyperlink" Id="rId29" Target="https://www.example.com/scholar7" TargetMode="External" /><Relationship Type="http://schemas.openxmlformats.org/officeDocument/2006/relationships/hyperlink" Id="rId31" Target="https://www.example.com/scholar8" TargetMode="External" /><Relationship Type="http://schemas.openxmlformats.org/officeDocument/2006/relationships/hyperlink" Id="rId32" Target="https://www.example.com/scholar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the Judge in Germany Frankfurt</dc:title>
  <dc:creator/>
  <dc:language>en</dc:language>
  <cp:keywords/>
  <dcterms:created xsi:type="dcterms:W3CDTF">2026-07-23T22:18:31Z</dcterms:created>
  <dcterms:modified xsi:type="dcterms:W3CDTF">2026-07-23T22:18:31Z</dcterms:modified>
</cp:coreProperties>
</file>

<file path=docProps/custom.xml><?xml version="1.0" encoding="utf-8"?>
<Properties xmlns="http://schemas.openxmlformats.org/officeDocument/2006/custom-properties" xmlns:vt="http://schemas.openxmlformats.org/officeDocument/2006/docPropsVTypes"/>
</file>