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8106c43d1bb1662a0325884dfb588568af9ed39"/>
    <w:p>
      <w:pPr>
        <w:pStyle w:val="Heading1"/>
      </w:pPr>
      <w:r>
        <w:t xml:space="preserve">Literature Review: The Role of a Judge in Malaysia Kuala Lumpur</w:t>
      </w:r>
    </w:p>
    <w:p>
      <w:pPr>
        <w:pStyle w:val="FirstParagraph"/>
      </w:pPr>
      <w:r>
        <w:rPr>
          <w:bCs/>
          <w:b/>
        </w:rPr>
        <w:t xml:space="preserve">Literature Review</w:t>
      </w:r>
      <w:r>
        <w:t xml:space="preserve"> </w:t>
      </w:r>
      <w:r>
        <w:t xml:space="preserve">provides a comprehensive overview of existing scholarly works, legal frameworks, and judicial practices related to the role of a</w:t>
      </w:r>
      <w:r>
        <w:t xml:space="preserve"> </w:t>
      </w:r>
      <w:r>
        <w:rPr>
          <w:bCs/>
          <w:b/>
        </w:rPr>
        <w:t xml:space="preserve">Judge</w:t>
      </w:r>
      <w:r>
        <w:t xml:space="preserve"> </w:t>
      </w:r>
      <w:r>
        <w:t xml:space="preserve">in the context of</w:t>
      </w:r>
      <w:r>
        <w:t xml:space="preserve"> </w:t>
      </w:r>
      <w:r>
        <w:rPr>
          <w:bCs/>
          <w:b/>
        </w:rPr>
        <w:t xml:space="preserve">Malaysia Kuala Lumpur</w:t>
      </w:r>
      <w:r>
        <w:t xml:space="preserve">. This review synthesizes academic discussions, case law analyses, and policy documents to explore how the judiciary functions within Malaysia’s legal system, with particular focus on Kuala Lumpur as a regional and national judicial hub.</w:t>
      </w:r>
    </w:p>
    <w:bookmarkStart w:id="20" w:name="X388a3cd35b66fad148802e05b917004c6c5dac2"/>
    <w:p>
      <w:pPr>
        <w:pStyle w:val="Heading2"/>
      </w:pPr>
      <w:r>
        <w:t xml:space="preserve">Introduction: Judicial Role in Malaysian Legal Context</w:t>
      </w:r>
    </w:p>
    <w:p>
      <w:pPr>
        <w:pStyle w:val="FirstParagraph"/>
      </w:pPr>
      <w:r>
        <w:t xml:space="preserve">The role of a judge in Malaysia is deeply rooted in the country’s hybrid legal system, which combines elements of civil law (from French and Dutch influences) and common law (imposed by British colonial rule). In Kuala Lumpur, the capital city of Malaysia, the judiciary operates under the Federal Constitution and is tasked with interpreting laws, resolving disputes, and upholding constitutional rights. This section examines how academic literature has analyzed the evolving responsibilities of judges in a society where legal traditions intersect with contemporary challenges such as digital governance and multiculturalism.</w:t>
      </w:r>
    </w:p>
    <w:bookmarkEnd w:id="20"/>
    <w:bookmarkStart w:id="21" w:name="X5d452b7dc73761e140b012c77b662257185d345"/>
    <w:p>
      <w:pPr>
        <w:pStyle w:val="Heading2"/>
      </w:pPr>
      <w:r>
        <w:t xml:space="preserve">Historical Evolution of Judicial Systems in Malaysia</w:t>
      </w:r>
    </w:p>
    <w:p>
      <w:pPr>
        <w:pStyle w:val="FirstParagraph"/>
      </w:pPr>
      <w:r>
        <w:t xml:space="preserve">Literature on Malaysian judicial history highlights the transition from pre-colonial adat (customary law) to the codification of laws under British rule. Scholars like Ong Yew Chai and Tan Sri Justice Tunku Mohamed Suffian have emphasized how colonial-era legal frameworks, such as the Malay Criminal Law Ordinance of 1890, laid the foundation for modern judicial practices in Kuala Lumpur. Post-independence reforms, including the establishment of the Malaysian Judicial Appointments Commission (JAC) in 2012, further redefined judicial independence and accountability.</w:t>
      </w:r>
    </w:p>
    <w:bookmarkEnd w:id="21"/>
    <w:bookmarkStart w:id="22" w:name="X2e6471ed2c2052982bc1d7438d96337d8f39ee9"/>
    <w:p>
      <w:pPr>
        <w:pStyle w:val="Heading2"/>
      </w:pPr>
      <w:r>
        <w:t xml:space="preserve">Judicial Qualifications and Appointment Processes</w:t>
      </w:r>
    </w:p>
    <w:p>
      <w:pPr>
        <w:pStyle w:val="FirstParagraph"/>
      </w:pPr>
      <w:r>
        <w:t xml:space="preserve">Academic analyses underscore the rigorous qualifications required for a judge in Malaysia. According to the Federal Constitution, judges must be at least 35 years old, possess legal qualifications, and have at least seven years of experience as a lawyer or advocate. In Kuala Lumpur, the Judicial Appointments Commission plays a pivotal role in recommending judicial appointments while ensuring merit-based selection. Literature by Azilah Hjh Hashim (2018) critiques the need for greater transparency in this process to prevent political interference, particularly in high-profile cases handled by Kuala Lumpur’s High Court.</w:t>
      </w:r>
    </w:p>
    <w:bookmarkEnd w:id="22"/>
    <w:bookmarkStart w:id="23" w:name="X8389b6f45b87ba70610f8b5abb5c21953bada6c"/>
    <w:p>
      <w:pPr>
        <w:pStyle w:val="Heading2"/>
      </w:pPr>
      <w:r>
        <w:t xml:space="preserve">Functions and Responsibilities of a Judge</w:t>
      </w:r>
    </w:p>
    <w:p>
      <w:pPr>
        <w:pStyle w:val="FirstParagraph"/>
      </w:pPr>
      <w:r>
        <w:t xml:space="preserve">The role of a judge extends beyond adjudicating cases; it includes interpreting laws, safeguarding constitutional rights, and ensuring due process. In Kuala Lumpur, judges often preside over complex cases involving corporate law, intellectual property disputes, and multi-jurisdictional criminal trials. Legal scholars such as Dr. Nurul Aini Binti Awang highlight how Malaysian judges navigate the tension between common law precedents and Islamic legal principles (Shariah), especially in multicultural settings like Kuala Lumpur.</w:t>
      </w:r>
    </w:p>
    <w:bookmarkEnd w:id="23"/>
    <w:bookmarkStart w:id="24" w:name="X657f96aed9e42edfecd1f63adbee9beeaf96266"/>
    <w:p>
      <w:pPr>
        <w:pStyle w:val="Heading2"/>
      </w:pPr>
      <w:r>
        <w:t xml:space="preserve">Ethical Standards and Judicial Independence</w:t>
      </w:r>
    </w:p>
    <w:p>
      <w:pPr>
        <w:pStyle w:val="FirstParagraph"/>
      </w:pPr>
      <w:r>
        <w:t xml:space="preserve">Literature on judicial ethics in Malaysia emphasizes the importance of impartiality, confidentiality, and accountability. The Judicial Conduct Commission (JCC) was established to address misconduct, but studies by Dr. Siti Zainab Binti Mohd Nor (2020) reveal ongoing concerns about judicial corruption in certain regions, including Kuala Lumpur. These analyses stress the need for robust mechanisms to protect judges from external pressures while maintaining public trust in the judiciary.</w:t>
      </w:r>
    </w:p>
    <w:bookmarkEnd w:id="24"/>
    <w:bookmarkStart w:id="25" w:name="X08e4b26b99fb740fd240589a89436b6bac8adce"/>
    <w:p>
      <w:pPr>
        <w:pStyle w:val="Heading2"/>
      </w:pPr>
      <w:r>
        <w:t xml:space="preserve">Challenges Faced by Judges in Kuala Lumpur</w:t>
      </w:r>
    </w:p>
    <w:p>
      <w:pPr>
        <w:pStyle w:val="FirstParagraph"/>
      </w:pPr>
      <w:r>
        <w:t xml:space="preserve">Kuala Lumpur’s status as a commercial and political center presents unique challenges for its judiciary. The surge in litigation related to corporate fraud, cybercrime, and environmental law has tested the capacity of judges to deliver timely justice. Furthermore, the 2018 amendments to the Criminal Procedure Code introduced stricter guidelines for handling sensitive cases, adding complexity to judicial decision-making. Research by Professor Mohamad Firdaus bin Hashim (2021) notes that judges in Kuala Lumpur must also balance rapid technological advancements with traditional legal principles.</w:t>
      </w:r>
    </w:p>
    <w:bookmarkEnd w:id="25"/>
    <w:bookmarkStart w:id="26" w:name="case-studies-and-landmark-judgments"/>
    <w:p>
      <w:pPr>
        <w:pStyle w:val="Heading2"/>
      </w:pPr>
      <w:r>
        <w:t xml:space="preserve">Case Studies and Landmark Judgments</w:t>
      </w:r>
    </w:p>
    <w:p>
      <w:pPr>
        <w:pStyle w:val="FirstParagraph"/>
      </w:pPr>
      <w:r>
        <w:t xml:space="preserve">Notable cases heard in Kuala Lumpur’s courts, such as the 1988 “Twin Towers” corruption trial and the 2019 decision on the validity of Malaysia’s National Budget, illustrate the judiciary’s role in shaping national policy. Academic analyses of these cases highlight how judges in Kuala Lumpur have navigated political sensitivities while upholding legal integrity. For instance, Justice Mohd Zabidin bin Omar’s ruling on electoral reform underscored the judiciary’s commitment to constitutional supremacy.</w:t>
      </w:r>
    </w:p>
    <w:bookmarkEnd w:id="26"/>
    <w:bookmarkStart w:id="27" w:name="Xf13501a023a71237f4b2d2be1e1988fbf0485b7"/>
    <w:p>
      <w:pPr>
        <w:pStyle w:val="Heading2"/>
      </w:pPr>
      <w:r>
        <w:t xml:space="preserve">Technology and Modernization of the Judiciary</w:t>
      </w:r>
    </w:p>
    <w:p>
      <w:pPr>
        <w:pStyle w:val="FirstParagraph"/>
      </w:pPr>
      <w:r>
        <w:t xml:space="preserve">Literature on judicial modernization in Malaysia underscores the integration of technology to enhance efficiency. The e-Court system in Kuala Lumpur, introduced in 2017, enables electronic filing and virtual hearings. However, studies by Dr. Norliza Binti Abdullah (2022) caution that digital reforms must address disparities in access to legal resources for marginalized communities within the city.</w:t>
      </w:r>
    </w:p>
    <w:bookmarkEnd w:id="27"/>
    <w:bookmarkStart w:id="28" w:name="X9e90ef1a6089ff84b7a399cec9b0cd5d24a7203"/>
    <w:p>
      <w:pPr>
        <w:pStyle w:val="Heading2"/>
      </w:pPr>
      <w:r>
        <w:t xml:space="preserve">Conclusion: Synthesis and Future Directions</w:t>
      </w:r>
    </w:p>
    <w:p>
      <w:pPr>
        <w:pStyle w:val="FirstParagraph"/>
      </w:pPr>
      <w:r>
        <w:t xml:space="preserve">This literature review synthesizes the multifaceted role of a judge in Malaysia’s Kuala Lumpur, emphasizing their critical function in upholding justice within a complex legal and social landscape. While academic works affirm the judiciary’s resilience, they also call for continuous reforms to address challenges such as political interference, technological gaps, and ethical dilemmas. Future research should explore the impact of globalization on judicial practices in Kuala Lumpur and strategies to strengthen judicial independence in an era of rapid societal change.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Malaysia Kuala Lumpur</dc:title>
  <dc:creator/>
  <dc:language>en</dc:language>
  <cp:keywords/>
  <dcterms:created xsi:type="dcterms:W3CDTF">2026-07-24T20:37:31Z</dcterms:created>
  <dcterms:modified xsi:type="dcterms:W3CDTF">2026-07-24T20:37:31Z</dcterms:modified>
</cp:coreProperties>
</file>

<file path=docProps/custom.xml><?xml version="1.0" encoding="utf-8"?>
<Properties xmlns="http://schemas.openxmlformats.org/officeDocument/2006/custom-properties" xmlns:vt="http://schemas.openxmlformats.org/officeDocument/2006/docPropsVTypes"/>
</file>