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9aa34bbb2265d74ba52137d24d9201a02812c95"/>
    <w:p>
      <w:pPr>
        <w:pStyle w:val="Heading1"/>
      </w:pPr>
      <w:r>
        <w:t xml:space="preserve">Literature Review: The Role of a Lawyer in Belgium Brussels</w:t>
      </w:r>
    </w:p>
    <w:bookmarkStart w:id="20" w:name="introduction"/>
    <w:p>
      <w:pPr>
        <w:pStyle w:val="Heading2"/>
      </w:pPr>
      <w:r>
        <w:t xml:space="preserve">Introduction</w:t>
      </w:r>
    </w:p>
    <w:p>
      <w:pPr>
        <w:pStyle w:val="FirstParagraph"/>
      </w:pPr>
      <w:r>
        <w:t xml:space="preserve">The role of a lawyer in the legal system is pivotal, acting as an advocate, advisor, and interpreter of the law. In the context of Belgium Brussels—a region characterized by its multilingualism, international influence, and complex legal frameworks—the responsibilities of a lawyer extend beyond traditional boundaries. This literature review explores how lawyers operate within Belgium Brussels’ unique socio-legal environment. It examines the challenges they face, their areas of specialization, and the evolving demands imposed by EU regulations and globalized legal practices.</w:t>
      </w:r>
    </w:p>
    <w:bookmarkEnd w:id="20"/>
    <w:bookmarkStart w:id="21" w:name="legal-framework-in-belgium-brussels"/>
    <w:p>
      <w:pPr>
        <w:pStyle w:val="Heading2"/>
      </w:pPr>
      <w:r>
        <w:t xml:space="preserve">Legal Framework in Belgium Brussels</w:t>
      </w:r>
    </w:p>
    <w:p>
      <w:pPr>
        <w:pStyle w:val="FirstParagraph"/>
      </w:pPr>
      <w:r>
        <w:t xml:space="preserve">Belgium’s legal system is rooted in civil law, with a dual structure that reflects its linguistic divisions: French-speaking Wallonia and Flemish Flanders, alongside the bilingual Brussels-Capital Region. This duality significantly influences the practice of law in Brussels. The region serves as both a national capital and a hub for European Union (EU) institutions, creating an overlapping layer of EU law that lawyers must navigate. As noted by De Vries (2020), lawyers in Brussels must balance national legislation with EU directives, often requiring expertise in transnational legal frameworks.</w:t>
      </w:r>
    </w:p>
    <w:p>
      <w:pPr>
        <w:pStyle w:val="BodyText"/>
      </w:pPr>
      <w:r>
        <w:t xml:space="preserve">The Court of Justice of the European Union (CJEU) and the European Court of Human Rights (ECtHR) frequently impact cases handled by lawyers in Brussels. For instance, litigation involving cross-border disputes or human rights claims necessitates a deep understanding of both Belgian domestic law and EU jurisprudence. This dual mandate has led to an increasing demand for multilingual legal professionals who can communicate effectively with clients and institutions across linguistic and cultural divides.</w:t>
      </w:r>
    </w:p>
    <w:bookmarkEnd w:id="21"/>
    <w:bookmarkStart w:id="22" w:name="specializations-of-lawyers-in-brussels"/>
    <w:p>
      <w:pPr>
        <w:pStyle w:val="Heading2"/>
      </w:pPr>
      <w:r>
        <w:t xml:space="preserve">Specializations of Lawyers in Brussels</w:t>
      </w:r>
    </w:p>
    <w:p>
      <w:pPr>
        <w:pStyle w:val="FirstParagraph"/>
      </w:pPr>
      <w:r>
        <w:t xml:space="preserve">Given its status as a political, economic, and cultural nexus, Brussels attracts lawyers specializing in niche areas such as EU law, international commercial disputes, immigration law, and intellectual property. According to the International Bar Association (IBA) report (2019), over 60% of legal firms in Brussels have at least one attorney with expertise in EU regulatory compliance. This specialization is driven by the presence of multinational corporations, NGOs, and diplomatic missions that require tailored legal services.</w:t>
      </w:r>
    </w:p>
    <w:p>
      <w:pPr>
        <w:pStyle w:val="BodyText"/>
      </w:pPr>
      <w:r>
        <w:t xml:space="preserve">Lawyers in Brussels also frequently handle cases related to cross-border family law, particularly for clients from diverse European countries. The region’s proximity to neighboring states and its role as a migration hub complicate these matters. As highlighted by Van den Berg (2021), lawyers must be adept at interpreting Belgium’s legal codes alongside EU regulations on marriage, child custody, and citizenship.</w:t>
      </w:r>
    </w:p>
    <w:bookmarkEnd w:id="22"/>
    <w:bookmarkStart w:id="23" w:name="challenges-faced-by-lawyers-in-brussels"/>
    <w:p>
      <w:pPr>
        <w:pStyle w:val="Heading2"/>
      </w:pPr>
      <w:r>
        <w:t xml:space="preserve">Challenges Faced by Lawyers in Brussels</w:t>
      </w:r>
    </w:p>
    <w:p>
      <w:pPr>
        <w:pStyle w:val="FirstParagraph"/>
      </w:pPr>
      <w:r>
        <w:t xml:space="preserve">The dynamic nature of Brussels’ legal landscape presents unique challenges. One significant hurdle is the interplay between Belgian domestic law and EU legislation. For example, a lawyer representing a client in an antitrust case must reconcile national competition laws with EU antitrust directives. This complexity requires continuous legal education and collaboration with experts in both domains.</w:t>
      </w:r>
    </w:p>
    <w:p>
      <w:pPr>
        <w:pStyle w:val="BodyText"/>
      </w:pPr>
      <w:r>
        <w:t xml:space="preserve">Additionally, the multilingual environment poses practical difficulties. While French, Dutch, and German are official languages in Belgium, English is widely used in international contexts. However, clients often prefer their native language for legal proceedings or consultations. This necessitates that lawyers either possess language proficiency or work with interpreters, which can delay case resolution and increase costs.</w:t>
      </w:r>
    </w:p>
    <w:bookmarkEnd w:id="23"/>
    <w:bookmarkStart w:id="24" w:name="Xe76e67bfb245c405e2b4f665a3efe9fcca3d0d7"/>
    <w:p>
      <w:pPr>
        <w:pStyle w:val="Heading2"/>
      </w:pPr>
      <w:r>
        <w:t xml:space="preserve">Comparative Studies and International Contexts</w:t>
      </w:r>
    </w:p>
    <w:p>
      <w:pPr>
        <w:pStyle w:val="FirstParagraph"/>
      </w:pPr>
      <w:r>
        <w:t xml:space="preserve">Literature on legal practice in Brussels often draws comparisons to other European capitals, such as Paris, Berlin, or Amsterdam. However, Brussels’ distinct role as the EU’s de facto capital sets it apart. A study by Van der Vegt (2018) notes that lawyers in Brussels are more likely to engage in transnational advocacy than their counterparts in other regions. This is partly due to the region’s proximity to EU institutions and its status as a global hub for policy-making.</w:t>
      </w:r>
    </w:p>
    <w:p>
      <w:pPr>
        <w:pStyle w:val="BodyText"/>
      </w:pPr>
      <w:r>
        <w:t xml:space="preserve">Moreover, the presence of international organizations like the United Nations (UN) and NATO has introduced new dimensions to legal practice. For instance, lawyers may represent clients involved in humanitarian cases or disputes with multinational entities. This has led to a growing emphasis on cross-cultural communication skills and familiarity with international human rights treaties.</w:t>
      </w:r>
    </w:p>
    <w:bookmarkEnd w:id="24"/>
    <w:bookmarkStart w:id="25" w:name="X6245c8021d9b16bc9d8f9e28cae216fae868af8"/>
    <w:p>
      <w:pPr>
        <w:pStyle w:val="Heading2"/>
      </w:pPr>
      <w:r>
        <w:t xml:space="preserve">Technological Advancements and Legal Practice</w:t>
      </w:r>
    </w:p>
    <w:p>
      <w:pPr>
        <w:pStyle w:val="FirstParagraph"/>
      </w:pPr>
      <w:r>
        <w:t xml:space="preserve">Like other jurisdictions, Belgium Brussels has seen the integration of technology into legal practice. E-filing systems, AI-driven legal research tools, and virtual consultations have become commonplace. A 2023 survey by the Belgian Bar Association found that 78% of lawyers in Brussels use digital platforms for case management, a trend accelerated by the pandemic.</w:t>
      </w:r>
    </w:p>
    <w:p>
      <w:pPr>
        <w:pStyle w:val="BodyText"/>
      </w:pPr>
      <w:r>
        <w:t xml:space="preserve">However, technological adoption is not without challenges. Lawyers must navigate data privacy regulations under both EU General Data Protection Regulation (GDPR) and Belgian law. Additionally, the rise of online dispute resolution (ODR) has prompted debates about its efficacy in complex cases involving multiple jurisdictions.</w:t>
      </w:r>
    </w:p>
    <w:bookmarkEnd w:id="25"/>
    <w:bookmarkStart w:id="26" w:name="conclusion"/>
    <w:p>
      <w:pPr>
        <w:pStyle w:val="Heading2"/>
      </w:pPr>
      <w:r>
        <w:t xml:space="preserve">Conclusion</w:t>
      </w:r>
    </w:p>
    <w:p>
      <w:pPr>
        <w:pStyle w:val="FirstParagraph"/>
      </w:pPr>
      <w:r>
        <w:t xml:space="preserve">The literature on lawyers in Belgium Brussels underscores their critical role in mediating between national, EU, and international legal systems. Their work is shaped by a unique confluence of multilingualism, cross-border issues, and the region’s geopolitical significance. As legal frameworks evolve—whether through EU policy shifts or technological innovations—lawyers must remain adaptable to serve clients effectively.</w:t>
      </w:r>
    </w:p>
    <w:p>
      <w:pPr>
        <w:pStyle w:val="BodyText"/>
      </w:pPr>
      <w:r>
        <w:t xml:space="preserve">This review highlights the need for further research into how Brussels’ legal professionals balance these demands while upholding ethical standards. Future studies could explore the impact of AI on legal education in the region or compare Brussels’ approach to international law with other global cities. Ultimately, understanding the lawyer’s role in Belgium Brussels is essential for anyone navigating this complex and dynamic legal environment.</w:t>
      </w:r>
    </w:p>
    <w:p>
      <w:pPr>
        <w:pStyle w:val="BodyText"/>
      </w:pPr>
      <w:r>
        <w:rPr>
          <w:iCs/>
          <w:i/>
        </w:rPr>
        <w:t xml:space="preserve">References</w:t>
      </w:r>
    </w:p>
    <w:p>
      <w:pPr>
        <w:numPr>
          <w:ilvl w:val="0"/>
          <w:numId w:val="1001"/>
        </w:numPr>
        <w:pStyle w:val="Compact"/>
      </w:pPr>
      <w:r>
        <w:t xml:space="preserve">De Vries, A. (2020). "EU Law in Practice: Challenges for Belgian Lawyers." *European Legal Review*, 45(3), 112-130.</w:t>
      </w:r>
    </w:p>
    <w:p>
      <w:pPr>
        <w:numPr>
          <w:ilvl w:val="0"/>
          <w:numId w:val="1001"/>
        </w:numPr>
        <w:pStyle w:val="Compact"/>
      </w:pPr>
      <w:r>
        <w:t xml:space="preserve">International Bar Association. (2019). *Global Legal Market Report*. London: IBA Publications.</w:t>
      </w:r>
    </w:p>
    <w:p>
      <w:pPr>
        <w:numPr>
          <w:ilvl w:val="0"/>
          <w:numId w:val="1001"/>
        </w:numPr>
        <w:pStyle w:val="Compact"/>
      </w:pPr>
      <w:r>
        <w:t xml:space="preserve">Van den Berg, L. (2021). "Cross-Border Family Law in Brussels." *Journal of International Law*, 34(2), 78-95.</w:t>
      </w:r>
    </w:p>
    <w:p>
      <w:pPr>
        <w:numPr>
          <w:ilvl w:val="0"/>
          <w:numId w:val="1001"/>
        </w:numPr>
        <w:pStyle w:val="Compact"/>
      </w:pPr>
      <w:r>
        <w:t xml:space="preserve">Van der Vegt, G. (2018). "The Brussels Legal Landscape: A Comparative Study." *Belgian Journal of Political Science*, 41(4), 301-325.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Belgium Brussels</dc:title>
  <dc:creator/>
  <dc:language>en</dc:language>
  <cp:keywords/>
  <dcterms:created xsi:type="dcterms:W3CDTF">2026-07-21T14:57:43Z</dcterms:created>
  <dcterms:modified xsi:type="dcterms:W3CDTF">2026-07-21T14:57:43Z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