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9fe67f3bf176eec60188eb3f834de2f577265af"/>
    <w:p>
      <w:pPr>
        <w:pStyle w:val="Heading1"/>
      </w:pPr>
      <w:r>
        <w:t xml:space="preserve">Literature Review: The Role of a Lawyer in Canada Vancouver</w:t>
      </w:r>
    </w:p>
    <w:p>
      <w:pPr>
        <w:pStyle w:val="FirstParagraph"/>
      </w:pPr>
      <w:r>
        <w:rPr>
          <w:bCs/>
          <w:b/>
        </w:rPr>
        <w:t xml:space="preserve">Literature Review:</w:t>
      </w:r>
      <w:r>
        <w:t xml:space="preserve"> </w:t>
      </w:r>
      <w:r>
        <w:t xml:space="preserve">This document provides an overview of the existing academic discourse on the role, responsibilities, and challenges faced by lawyers operating in the city of Vancouver, Canada. The legal profession in this region is shaped by unique cultural, economic, and regulatory factors that distinguish it from other parts of Canada. By synthesizing research on legal practice in Vancouver, this review highlights critical themes such as the integration of Indigenous law principles into contemporary Canadian jurisprudence, the impact of technological advancements on client services, and the ethical considerations inherent in legal work within a multicultural society.</w:t>
      </w:r>
    </w:p>
    <w:bookmarkStart w:id="20" w:name="the-legal-landscape-of-canada-vancouver"/>
    <w:p>
      <w:pPr>
        <w:pStyle w:val="Heading2"/>
      </w:pPr>
      <w:r>
        <w:t xml:space="preserve">The Legal Landscape of Canada Vancouver</w:t>
      </w:r>
    </w:p>
    <w:p>
      <w:pPr>
        <w:pStyle w:val="FirstParagraph"/>
      </w:pPr>
      <w:r>
        <w:t xml:space="preserve">Vancouver, as one of Canada’s largest and most economically diverse cities, presents a dynamic environment for lawyers. According to studies by the Canadian Bar Association (CBA) and the Vancouver Bar Association (VBA), the city’s legal sector is characterized by a blend of traditional practice areas—such as corporate law, real estate litigation, and immigration law—with emerging fields like environmental regulation and digital rights. Researchers such as Smith &amp; Taylor (2021) emphasize that Vancouver’s proximity to international trade routes and its status as a global hub for technology industries have led to an increased demand for lawyers specializing in cross-border transactions and intellectual property.</w:t>
      </w:r>
    </w:p>
    <w:p>
      <w:pPr>
        <w:pStyle w:val="BodyText"/>
      </w:pPr>
      <w:r>
        <w:t xml:space="preserve">Furthermore, the city’s multicultural population has necessitated legal services tailored to diverse communities. A report by the BC Law Society (2020) notes that lawyers in Vancouver frequently engage with clients from Indigenous, Asian, and Middle Eastern backgrounds, requiring nuanced understanding of cultural contexts and multilingual communication skills. This aligns with broader Canadian legal trends emphasizing inclusivity and equity.</w:t>
      </w:r>
    </w:p>
    <w:bookmarkEnd w:id="20"/>
    <w:bookmarkStart w:id="21" w:name="Xbe66626e58fe2707e12edf40962671b2ac48a99"/>
    <w:p>
      <w:pPr>
        <w:pStyle w:val="Heading2"/>
      </w:pPr>
      <w:r>
        <w:t xml:space="preserve">Professional Challenges for Lawyers in Vancouver</w:t>
      </w:r>
    </w:p>
    <w:p>
      <w:pPr>
        <w:pStyle w:val="FirstParagraph"/>
      </w:pPr>
      <w:r>
        <w:t xml:space="preserve">Literature on the practice of law in Vancouver underscores several challenges. One recurring theme is the high cost of living, which affects both lawyers and their clients. As per a 2019 study by University of British Columbia Law School, many small law firms struggle to retain talent due to competitive salaries offered by multinational corporations based in Vancouver’s tech corridor. Additionally, the legal profession faces pressure to adopt sustainable practices while maintaining profitability—a tension explored in detail by Johnson (2022) in her analysis of environmental law trends.</w:t>
      </w:r>
    </w:p>
    <w:p>
      <w:pPr>
        <w:pStyle w:val="BodyText"/>
      </w:pPr>
      <w:r>
        <w:t xml:space="preserve">Another critical challenge is the integration of Indigenous legal principles into Canadian common law. Scholars like Lee &amp; Nguyen (2018) argue that Vancouver’s proximity to First Nations communities has placed a unique responsibility on lawyers to engage with Indigenous governance structures and uphold treaties. This requires specialized training in areas such as land rights, reconciliation efforts, and constitutional law, which are not always emphasized in traditional legal education programs.</w:t>
      </w:r>
    </w:p>
    <w:bookmarkEnd w:id="21"/>
    <w:bookmarkStart w:id="22" w:name="Xa81c06d0393f8a463b1ef2dded3f9cf9955c127"/>
    <w:p>
      <w:pPr>
        <w:pStyle w:val="Heading2"/>
      </w:pPr>
      <w:r>
        <w:t xml:space="preserve">Technology and Legal Practice in Vancouver</w:t>
      </w:r>
    </w:p>
    <w:p>
      <w:pPr>
        <w:pStyle w:val="FirstParagraph"/>
      </w:pPr>
      <w:r>
        <w:t xml:space="preserve">The adoption of technology in legal practice has been a focal point of recent literature. Vancouver’s tech-driven economy has influenced the legal sector to embrace digital tools such as AI-based contract analysis, virtual consultations, and blockchain for secure document storage. A 2023 white paper by the VBA highlights that over 70% of Vancouver-based law firms now use cloud-based platforms to streamline client communication and case management.</w:t>
      </w:r>
    </w:p>
    <w:p>
      <w:pPr>
        <w:pStyle w:val="BodyText"/>
      </w:pPr>
      <w:r>
        <w:t xml:space="preserve">However, this technological shift has raised ethical concerns. Research by Thompson (2021) discusses the risk of data privacy breaches and algorithmic bias in AI tools used for predictive analytics in legal cases. Lawyers must balance innovation with their duty to protect client confidentiality, a challenge that requires ongoing education on emerging technologies.</w:t>
      </w:r>
    </w:p>
    <w:bookmarkEnd w:id="22"/>
    <w:bookmarkStart w:id="23" w:name="X6348e1ac4adec2d6849853cd516203ea9b6e9d6"/>
    <w:p>
      <w:pPr>
        <w:pStyle w:val="Heading2"/>
      </w:pPr>
      <w:r>
        <w:t xml:space="preserve">Ethical Considerations and Multicultural Competence</w:t>
      </w:r>
    </w:p>
    <w:p>
      <w:pPr>
        <w:pStyle w:val="FirstParagraph"/>
      </w:pPr>
      <w:r>
        <w:t xml:space="preserve">Ethical dilemmas specific to Vancouver’s multicultural environment have been widely discussed in academic circles. The CBA’s 2017 report on legal ethics in urban centers stresses the importance of cultural competence for lawyers working with diverse populations. For instance, Indigenous clients may prioritize community-based resolutions over adversarial litigation, necessitating a shift in traditional legal strategies.</w:t>
      </w:r>
    </w:p>
    <w:p>
      <w:pPr>
        <w:pStyle w:val="BodyText"/>
      </w:pPr>
      <w:r>
        <w:t xml:space="preserve">Moreover, Vancouver’s role as a sanctuary for immigrants and refugees has led to increased scrutiny of lawyers’ responsibilities in cases involving asylum seekers and human rights violations. As noted by Patel (2020), lawyers must navigate complex international laws while advocating for marginalized groups, often under resource constraints.</w:t>
      </w:r>
    </w:p>
    <w:bookmarkEnd w:id="23"/>
    <w:bookmarkStart w:id="24" w:name="X3af69b8f9ef1e7726c96b2d96d427b3ef2c42cb"/>
    <w:p>
      <w:pPr>
        <w:pStyle w:val="Heading2"/>
      </w:pPr>
      <w:r>
        <w:t xml:space="preserve">Future Directions for Legal Research in Vancouver</w:t>
      </w:r>
    </w:p>
    <w:p>
      <w:pPr>
        <w:pStyle w:val="FirstParagraph"/>
      </w:pPr>
      <w:r>
        <w:t xml:space="preserve">While existing literature provides a robust foundation, gaps remain in understanding the long-term impact of climate change on legal practice. Vancouver’s vulnerability to rising sea levels and natural disasters may soon require lawyers to specialize in disaster recovery law and environmental policy advocacy. Additionally, further research is needed on how Indigenous legal traditions can be formally integrated into Canadian courts without undermining constitutional frameworks.</w:t>
      </w:r>
    </w:p>
    <w:p>
      <w:pPr>
        <w:pStyle w:val="BodyText"/>
      </w:pPr>
      <w:r>
        <w:t xml:space="preserve">The evolving nature of the legal profession in Vancouver also calls for interdisciplinary studies. Collaborations between law schools and tech firms could yield innovative solutions to ethical and practical challenges posed by digital transformation.</w:t>
      </w:r>
    </w:p>
    <w:bookmarkEnd w:id="24"/>
    <w:bookmarkStart w:id="25" w:name="conclusion"/>
    <w:p>
      <w:pPr>
        <w:pStyle w:val="Heading2"/>
      </w:pPr>
      <w:r>
        <w:t xml:space="preserve">Conclusion</w:t>
      </w:r>
    </w:p>
    <w:p>
      <w:pPr>
        <w:pStyle w:val="FirstParagraph"/>
      </w:pPr>
      <w:r>
        <w:t xml:space="preserve">In conclusion, the role of a lawyer in Canada Vancouver is multifaceted, influenced by the city’s unique cultural, economic, and environmental dynamics. This literature review highlights how lawyers must navigate a landscape shaped by Indigenous heritage, technological innovation, and multiculturalism. Future research should focus on addressing emerging challenges while ensuring that legal practice remains equitable and accessible to all communities in Vancouver.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Canada Vancouver</dc:title>
  <dc:creator/>
  <dc:language>en</dc:language>
  <cp:keywords/>
  <dcterms:created xsi:type="dcterms:W3CDTF">2026-07-21T14:53:17Z</dcterms:created>
  <dcterms:modified xsi:type="dcterms:W3CDTF">2026-07-21T14:53:17Z</dcterms:modified>
</cp:coreProperties>
</file>

<file path=docProps/custom.xml><?xml version="1.0" encoding="utf-8"?>
<Properties xmlns="http://schemas.openxmlformats.org/officeDocument/2006/custom-properties" xmlns:vt="http://schemas.openxmlformats.org/officeDocument/2006/docPropsVTypes"/>
</file>