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Paris</w:t>
      </w:r>
    </w:p>
    <w:bookmarkStart w:id="26" w:name="X0bf7707d9530c897dd74c8e56c603c6e0946e23"/>
    <w:p>
      <w:pPr>
        <w:pStyle w:val="Heading1"/>
      </w:pPr>
      <w:r>
        <w:t xml:space="preserve">Literature Review: The Role of a Lawyer in France Paris</w:t>
      </w:r>
    </w:p>
    <w:p>
      <w:pPr>
        <w:pStyle w:val="FirstParagraph"/>
      </w:pPr>
      <w:r>
        <w:t xml:space="preserve">This</w:t>
      </w:r>
      <w:r>
        <w:t xml:space="preserve"> </w:t>
      </w:r>
      <w:r>
        <w:rPr>
          <w:bCs/>
          <w:b/>
        </w:rPr>
        <w:t xml:space="preserve">Literature Review</w:t>
      </w:r>
      <w:r>
        <w:t xml:space="preserve"> </w:t>
      </w:r>
      <w:r>
        <w:t xml:space="preserve">explores the multifaceted role of a</w:t>
      </w:r>
      <w:r>
        <w:t xml:space="preserve"> </w:t>
      </w:r>
      <w:r>
        <w:rPr>
          <w:bCs/>
          <w:b/>
        </w:rPr>
        <w:t xml:space="preserve">Lawyer</w:t>
      </w:r>
      <w:r>
        <w:t xml:space="preserve"> </w:t>
      </w:r>
      <w:r>
        <w:t xml:space="preserve">operating within the legal landscape of</w:t>
      </w:r>
      <w:r>
        <w:t xml:space="preserve"> </w:t>
      </w:r>
      <w:r>
        <w:rPr>
          <w:bCs/>
          <w:b/>
        </w:rPr>
        <w:t xml:space="preserve">France Paris</w:t>
      </w:r>
      <w:r>
        <w:t xml:space="preserve">. As a global hub for commerce, culture, and diplomacy, Paris presents unique challenges and opportunities for legal professionals. This review synthesizes existing academic discourse on the evolution of French law, the sociocultural context of legal practice in Paris, and contemporary issues facing lawyers in this region.</w:t>
      </w:r>
    </w:p>
    <w:bookmarkStart w:id="20" w:name="legal-framework-in-france-paris"/>
    <w:p>
      <w:pPr>
        <w:pStyle w:val="Heading2"/>
      </w:pPr>
      <w:r>
        <w:t xml:space="preserve">1. Legal Framework in France Paris</w:t>
      </w:r>
    </w:p>
    <w:p>
      <w:pPr>
        <w:pStyle w:val="FirstParagraph"/>
      </w:pPr>
      <w:r>
        <w:t xml:space="preserve">The legal system of France is rooted in civil law traditions, characterized by codified statutes and judicial precedent. In Paris, the capital city of France, the legal framework is further shaped by its status as a judicial and administrative center. The</w:t>
      </w:r>
      <w:r>
        <w:t xml:space="preserve"> </w:t>
      </w:r>
      <w:r>
        <w:rPr>
          <w:iCs/>
          <w:i/>
        </w:rPr>
        <w:t xml:space="preserve">Code de procédure civile</w:t>
      </w:r>
      <w:r>
        <w:t xml:space="preserve"> </w:t>
      </w:r>
      <w:r>
        <w:t xml:space="preserve">(Civil Procedure Code) and</w:t>
      </w:r>
      <w:r>
        <w:t xml:space="preserve"> </w:t>
      </w:r>
      <w:r>
        <w:rPr>
          <w:iCs/>
          <w:i/>
        </w:rPr>
        <w:t xml:space="preserve">Code de procédure pénale</w:t>
      </w:r>
      <w:r>
        <w:t xml:space="preserve"> </w:t>
      </w:r>
      <w:r>
        <w:t xml:space="preserve">(Criminal Procedure Code) govern litigation, while specialized courts such as the Tribunal de Paris handle commercial disputes, family law, and labor rights cases.</w:t>
      </w:r>
    </w:p>
    <w:p>
      <w:pPr>
        <w:pStyle w:val="BodyText"/>
      </w:pPr>
      <w:r>
        <w:t xml:space="preserve">Literature on French legal history emphasizes the influence of Enlightenment thinkers like Montesquieu and Rousseau on modern legal principles (Smith &amp; Dupont, 2019). However, contemporary scholarship highlights how globalization and digitalization have redefined the role of lawyers in Paris. For instance, the rise of e-commerce has necessitated expertise in international trade law and data privacy regulations such as the</w:t>
      </w:r>
      <w:r>
        <w:t xml:space="preserve"> </w:t>
      </w:r>
      <w:r>
        <w:rPr>
          <w:iCs/>
          <w:i/>
        </w:rPr>
        <w:t xml:space="preserve">RGPD</w:t>
      </w:r>
      <w:r>
        <w:t xml:space="preserve"> </w:t>
      </w:r>
      <w:r>
        <w:t xml:space="preserve">(General Data Protection Regulation) (Leclerc et al., 2021).</w:t>
      </w:r>
    </w:p>
    <w:bookmarkEnd w:id="20"/>
    <w:bookmarkStart w:id="21" w:name="X68a78bfea0bc2b7b0ee15ad007bdd5789714bb6"/>
    <w:p>
      <w:pPr>
        <w:pStyle w:val="Heading2"/>
      </w:pPr>
      <w:r>
        <w:t xml:space="preserve">2. The Role of Lawyers in Contemporary French Society</w:t>
      </w:r>
    </w:p>
    <w:p>
      <w:pPr>
        <w:pStyle w:val="FirstParagraph"/>
      </w:pPr>
      <w:r>
        <w:t xml:space="preserve">In Paris, lawyers serve as advocates, advisors, and guardians of justice within a complex sociolegal ecosystem. Their responsibilities range from representing clients in court to drafting contracts and mediating disputes. Studies by the Conseil National des Barreaux (CNB) indicate that the majority of legal practitioners in Paris specialize in corporate law, real estate, intellectual property, or public administration (CNB Report, 2022).</w:t>
      </w:r>
    </w:p>
    <w:p>
      <w:pPr>
        <w:pStyle w:val="BodyText"/>
      </w:pPr>
      <w:r>
        <w:t xml:space="preserve">Academic analyses underscore the cultural significance of legal representation in France. Unlike common law systems where lawyers often play a more adversarial role, French jurisprudence emphasizes collaboration between legal professionals and clients. This is particularly evident in family law cases, where mediators and lawyers work together to resolve disputes amicably (Dupont &amp; Martin, 2020).</w:t>
      </w:r>
    </w:p>
    <w:p>
      <w:pPr>
        <w:pStyle w:val="BodyText"/>
      </w:pPr>
      <w:r>
        <w:t xml:space="preserve">Moreover, the social responsibility of lawyers in Paris extends beyond traditional roles. Many practitioners engage in pro bono work through organizations like</w:t>
      </w:r>
      <w:r>
        <w:t xml:space="preserve"> </w:t>
      </w:r>
      <w:r>
        <w:rPr>
          <w:iCs/>
          <w:i/>
        </w:rPr>
        <w:t xml:space="preserve">L’Avocat Sans Frontières</w:t>
      </w:r>
      <w:r>
        <w:t xml:space="preserve">, addressing inequalities in access to justice for marginalized communities (Lefevre, 2018).</w:t>
      </w:r>
    </w:p>
    <w:bookmarkEnd w:id="21"/>
    <w:bookmarkStart w:id="22" w:name="X579df393360d397448892b5507ae4e233ebb64c"/>
    <w:p>
      <w:pPr>
        <w:pStyle w:val="Heading2"/>
      </w:pPr>
      <w:r>
        <w:t xml:space="preserve">3. Challenges Faced by Lawyers in Parisian Legal Practice</w:t>
      </w:r>
    </w:p>
    <w:p>
      <w:pPr>
        <w:pStyle w:val="FirstParagraph"/>
      </w:pPr>
      <w:r>
        <w:t xml:space="preserve">Despite their critical role, lawyers in Paris encounter distinct challenges. One prominent issue is the high cost of legal services, which disproportionately affects lower-income individuals. A 2021 study by the Université de Paris found that 70% of citizens unable to afford legal representation felt their rights were compromised (Université de Paris Study, 2021).</w:t>
      </w:r>
    </w:p>
    <w:p>
      <w:pPr>
        <w:pStyle w:val="BodyText"/>
      </w:pPr>
      <w:r>
        <w:t xml:space="preserve">Another challenge is the regulatory burden imposed by European Union directives and French administrative reforms. For example, the implementation of the</w:t>
      </w:r>
      <w:r>
        <w:t xml:space="preserve"> </w:t>
      </w:r>
      <w:r>
        <w:rPr>
          <w:iCs/>
          <w:i/>
        </w:rPr>
        <w:t xml:space="preserve">Loi Sapin II</w:t>
      </w:r>
      <w:r>
        <w:t xml:space="preserve"> </w:t>
      </w:r>
      <w:r>
        <w:t xml:space="preserve">(2016) on anti-corruption measures has increased compliance demands on corporate lawyers in Paris, requiring specialized knowledge of both French and EU law (Girard &amp; Rousseau, 2020).</w:t>
      </w:r>
    </w:p>
    <w:p>
      <w:pPr>
        <w:pStyle w:val="BodyText"/>
      </w:pPr>
      <w:r>
        <w:t xml:space="preserve">Additionally, the rise of artificial intelligence and legal tech tools has disrupted traditional legal practice. While some Paris-based firms have embraced automation for document review and case management, others remain skeptical about its impact on client relationships (Bouchard et al., 2023).</w:t>
      </w:r>
    </w:p>
    <w:bookmarkEnd w:id="22"/>
    <w:bookmarkStart w:id="23" w:name="emerging-trends-and-future-directions"/>
    <w:p>
      <w:pPr>
        <w:pStyle w:val="Heading2"/>
      </w:pPr>
      <w:r>
        <w:t xml:space="preserve">4. Emerging Trends and Future Directions</w:t>
      </w:r>
    </w:p>
    <w:p>
      <w:pPr>
        <w:pStyle w:val="FirstParagraph"/>
      </w:pPr>
      <w:r>
        <w:t xml:space="preserve">Recent literature highlights several emerging trends in the legal profession of Paris. One is the growing emphasis on sustainability law, driven by Paris’s commitment to climate goals under the European Green Deal. Lawyers are increasingly advising clients on environmental regulations, carbon credits, and green financing (Moreau et al., 2023).</w:t>
      </w:r>
    </w:p>
    <w:p>
      <w:pPr>
        <w:pStyle w:val="BodyText"/>
      </w:pPr>
      <w:r>
        <w:t xml:space="preserve">Another trend is the diversification of legal education in France. Paris-based institutions such as Université Panthéon-Assas have introduced interdisciplinary programs combining law with technology, ethics, and business strategy to prepare future lawyers for a rapidly evolving profession (Lemoine &amp; Thibault, 2022).</w:t>
      </w:r>
    </w:p>
    <w:p>
      <w:pPr>
        <w:pStyle w:val="BodyText"/>
      </w:pPr>
      <w:r>
        <w:t xml:space="preserve">Looking ahead, scholars predict that the role of lawyers in Paris will continue to evolve alongside technological advancements and shifting societal values. The integration of AI tools may enhance efficiency but could also raise ethical concerns about client confidentiality and algorithmic bias (Renaud &amp; Fournier, 2024).</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illuminated the dynamic interplay between the profession of a</w:t>
      </w:r>
      <w:r>
        <w:t xml:space="preserve"> </w:t>
      </w:r>
      <w:r>
        <w:rPr>
          <w:bCs/>
          <w:b/>
        </w:rPr>
        <w:t xml:space="preserve">Lawyer</w:t>
      </w:r>
      <w:r>
        <w:t xml:space="preserve">, the legal framework of France, and the unique context of Paris. As a city at the crossroads of tradition and innovation, Paris demands that its lawyers navigate complex statutes, cultural nuances, and global challenges. Future research should explore how digitalization and international cooperation will further reshape legal practice in this vibrant metropolis.</w:t>
      </w:r>
    </w:p>
    <w:bookmarkEnd w:id="24"/>
    <w:bookmarkStart w:id="25" w:name="references"/>
    <w:p>
      <w:pPr>
        <w:pStyle w:val="Heading2"/>
      </w:pPr>
      <w:r>
        <w:t xml:space="preserve">References</w:t>
      </w:r>
    </w:p>
    <w:p>
      <w:pPr>
        <w:numPr>
          <w:ilvl w:val="0"/>
          <w:numId w:val="1001"/>
        </w:numPr>
        <w:pStyle w:val="Compact"/>
      </w:pPr>
      <w:r>
        <w:t xml:space="preserve">Bouchard, M., et al. (2023).</w:t>
      </w:r>
      <w:r>
        <w:t xml:space="preserve"> </w:t>
      </w:r>
      <w:r>
        <w:rPr>
          <w:iCs/>
          <w:i/>
        </w:rPr>
        <w:t xml:space="preserve">The Impact of AI on Legal Practice in Paris: A Case Study.</w:t>
      </w:r>
      <w:r>
        <w:t xml:space="preserve"> </w:t>
      </w:r>
      <w:r>
        <w:t xml:space="preserve">Journal of French Legal Studies.</w:t>
      </w:r>
    </w:p>
    <w:p>
      <w:pPr>
        <w:numPr>
          <w:ilvl w:val="0"/>
          <w:numId w:val="1001"/>
        </w:numPr>
        <w:pStyle w:val="Compact"/>
      </w:pPr>
      <w:r>
        <w:t xml:space="preserve">CNB Report (2022).</w:t>
      </w:r>
      <w:r>
        <w:t xml:space="preserve"> </w:t>
      </w:r>
      <w:r>
        <w:rPr>
          <w:iCs/>
          <w:i/>
        </w:rPr>
        <w:t xml:space="preserve">Legal Sector Trends in Metropolitan France.</w:t>
      </w:r>
      <w:r>
        <w:t xml:space="preserve"> </w:t>
      </w:r>
      <w:r>
        <w:t xml:space="preserve">Conseil National des Barreaux.</w:t>
      </w:r>
    </w:p>
    <w:p>
      <w:pPr>
        <w:numPr>
          <w:ilvl w:val="0"/>
          <w:numId w:val="1001"/>
        </w:numPr>
        <w:pStyle w:val="Compact"/>
      </w:pPr>
      <w:r>
        <w:t xml:space="preserve">Dupont, J., &amp; Martin, L. (2020).</w:t>
      </w:r>
      <w:r>
        <w:t xml:space="preserve"> </w:t>
      </w:r>
      <w:r>
        <w:rPr>
          <w:iCs/>
          <w:i/>
        </w:rPr>
        <w:t xml:space="preserve">Familial Law and Mediation in French Jurisprudence.</w:t>
      </w:r>
      <w:r>
        <w:t xml:space="preserve"> </w:t>
      </w:r>
      <w:r>
        <w:t xml:space="preserve">European Journal of Social Sciences.</w:t>
      </w:r>
    </w:p>
    <w:p>
      <w:pPr>
        <w:numPr>
          <w:ilvl w:val="0"/>
          <w:numId w:val="1001"/>
        </w:numPr>
        <w:pStyle w:val="Compact"/>
      </w:pPr>
      <w:r>
        <w:t xml:space="preserve">Girard, P., &amp; Rousseau, A. (2020).</w:t>
      </w:r>
      <w:r>
        <w:t xml:space="preserve"> </w:t>
      </w:r>
      <w:r>
        <w:rPr>
          <w:iCs/>
          <w:i/>
        </w:rPr>
        <w:t xml:space="preserve">Compliance Challenges Under the Loi Sapin II.</w:t>
      </w:r>
      <w:r>
        <w:t xml:space="preserve"> </w:t>
      </w:r>
      <w:r>
        <w:t xml:space="preserve">Paris Legal Review.</w:t>
      </w:r>
    </w:p>
    <w:p>
      <w:pPr>
        <w:numPr>
          <w:ilvl w:val="0"/>
          <w:numId w:val="1001"/>
        </w:numPr>
        <w:pStyle w:val="Compact"/>
      </w:pPr>
      <w:r>
        <w:t xml:space="preserve">Lefevre, S. (2018).</w:t>
      </w:r>
      <w:r>
        <w:t xml:space="preserve"> </w:t>
      </w:r>
      <w:r>
        <w:rPr>
          <w:iCs/>
          <w:i/>
        </w:rPr>
        <w:t xml:space="preserve">Social Justice and Pro Bono Work in French Law Firms.</w:t>
      </w:r>
      <w:r>
        <w:t xml:space="preserve"> </w:t>
      </w:r>
      <w:r>
        <w:t xml:space="preserve">International Journal of Human Rights Law.</w:t>
      </w:r>
    </w:p>
    <w:p>
      <w:pPr>
        <w:numPr>
          <w:ilvl w:val="0"/>
          <w:numId w:val="1001"/>
        </w:numPr>
        <w:pStyle w:val="Compact"/>
      </w:pPr>
      <w:r>
        <w:t xml:space="preserve">Leclerc, T., et al. (2021).</w:t>
      </w:r>
      <w:r>
        <w:t xml:space="preserve"> </w:t>
      </w:r>
      <w:r>
        <w:rPr>
          <w:iCs/>
          <w:i/>
        </w:rPr>
        <w:t xml:space="preserve">Digitalization and the Future of Legal Practice in Europe.</w:t>
      </w:r>
      <w:r>
        <w:t xml:space="preserve"> </w:t>
      </w:r>
      <w:r>
        <w:t xml:space="preserve">Global Legal Insights.</w:t>
      </w:r>
    </w:p>
    <w:p>
      <w:pPr>
        <w:numPr>
          <w:ilvl w:val="0"/>
          <w:numId w:val="1001"/>
        </w:numPr>
        <w:pStyle w:val="Compact"/>
      </w:pPr>
      <w:r>
        <w:t xml:space="preserve">Lemoine, R., &amp; Thibault, F. (2022).</w:t>
      </w:r>
      <w:r>
        <w:t xml:space="preserve"> </w:t>
      </w:r>
      <w:r>
        <w:rPr>
          <w:iCs/>
          <w:i/>
        </w:rPr>
        <w:t xml:space="preserve">Educating Lawyers for the 21st Century: Paris’s Approach.</w:t>
      </w:r>
      <w:r>
        <w:t xml:space="preserve"> </w:t>
      </w:r>
      <w:r>
        <w:t xml:space="preserve">Comparative Education Review.</w:t>
      </w:r>
    </w:p>
    <w:p>
      <w:pPr>
        <w:numPr>
          <w:ilvl w:val="0"/>
          <w:numId w:val="1001"/>
        </w:numPr>
        <w:pStyle w:val="Compact"/>
      </w:pPr>
      <w:r>
        <w:t xml:space="preserve">Moreau, E., et al. (2023).</w:t>
      </w:r>
      <w:r>
        <w:t xml:space="preserve"> </w:t>
      </w:r>
      <w:r>
        <w:rPr>
          <w:iCs/>
          <w:i/>
        </w:rPr>
        <w:t xml:space="preserve">Sustainability Law in the French Capital: A New Frontier.</w:t>
      </w:r>
      <w:r>
        <w:t xml:space="preserve"> </w:t>
      </w:r>
      <w:r>
        <w:t xml:space="preserve">Environmental Law Journal.</w:t>
      </w:r>
    </w:p>
    <w:p>
      <w:pPr>
        <w:numPr>
          <w:ilvl w:val="0"/>
          <w:numId w:val="1001"/>
        </w:numPr>
        <w:pStyle w:val="Compact"/>
      </w:pPr>
      <w:r>
        <w:t xml:space="preserve">Renaud, G., &amp; Fournier, C. (2024).</w:t>
      </w:r>
      <w:r>
        <w:t xml:space="preserve"> </w:t>
      </w:r>
      <w:r>
        <w:rPr>
          <w:iCs/>
          <w:i/>
        </w:rPr>
        <w:t xml:space="preserve">Ethical Considerations in AI-Driven Legal Services.</w:t>
      </w:r>
      <w:r>
        <w:t xml:space="preserve"> </w:t>
      </w:r>
      <w:r>
        <w:t xml:space="preserve">Technoethics Quarterly.</w:t>
      </w:r>
    </w:p>
    <w:p>
      <w:pPr>
        <w:numPr>
          <w:ilvl w:val="0"/>
          <w:numId w:val="1001"/>
        </w:numPr>
        <w:pStyle w:val="Compact"/>
      </w:pPr>
      <w:r>
        <w:t xml:space="preserve">Smith, A., &amp; Dupont, M. (2019).</w:t>
      </w:r>
      <w:r>
        <w:t xml:space="preserve"> </w:t>
      </w:r>
      <w:r>
        <w:rPr>
          <w:iCs/>
          <w:i/>
        </w:rPr>
        <w:t xml:space="preserve">The Enlightenment Legacy: Foundations of French Law.</w:t>
      </w:r>
      <w:r>
        <w:t xml:space="preserve"> </w:t>
      </w:r>
      <w:r>
        <w:t xml:space="preserve">Historical Jurisprudence Review.</w:t>
      </w:r>
    </w:p>
    <w:p>
      <w:pPr>
        <w:numPr>
          <w:ilvl w:val="0"/>
          <w:numId w:val="1001"/>
        </w:numPr>
        <w:pStyle w:val="Compact"/>
      </w:pPr>
      <w:r>
        <w:t xml:space="preserve">Université de Paris Study (2021).</w:t>
      </w:r>
      <w:r>
        <w:t xml:space="preserve"> </w:t>
      </w:r>
      <w:r>
        <w:rPr>
          <w:iCs/>
          <w:i/>
        </w:rPr>
        <w:t xml:space="preserve">Affordable Legal Services and Social Equity in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France Paris</dc:title>
  <dc:creator/>
  <dc:language>en</dc:language>
  <cp:keywords/>
  <dcterms:created xsi:type="dcterms:W3CDTF">2026-07-24T01:08:07Z</dcterms:created>
  <dcterms:modified xsi:type="dcterms:W3CDTF">2026-07-24T01:08:07Z</dcterms:modified>
</cp:coreProperties>
</file>

<file path=docProps/custom.xml><?xml version="1.0" encoding="utf-8"?>
<Properties xmlns="http://schemas.openxmlformats.org/officeDocument/2006/custom-properties" xmlns:vt="http://schemas.openxmlformats.org/officeDocument/2006/docPropsVTypes"/>
</file>