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Germany</w:t>
      </w:r>
      <w:r>
        <w:t xml:space="preserve"> </w:t>
      </w:r>
      <w:r>
        <w:t xml:space="preserve">Munich</w:t>
      </w:r>
    </w:p>
    <w:bookmarkStart w:id="27" w:name="X3bb98d7b92c3606f372975d7db801ca3c306ed7"/>
    <w:p>
      <w:pPr>
        <w:pStyle w:val="Heading1"/>
      </w:pPr>
      <w:r>
        <w:t xml:space="preserve">Literature Review: The Role and Requirements of a Lawyer in Germany, Specifically Munich</w:t>
      </w:r>
    </w:p>
    <w:bookmarkStart w:id="20" w:name="introduction"/>
    <w:p>
      <w:pPr>
        <w:pStyle w:val="Heading2"/>
      </w:pPr>
      <w:r>
        <w:t xml:space="preserve">Introduction</w:t>
      </w:r>
    </w:p>
    <w:p>
      <w:pPr>
        <w:pStyle w:val="FirstParagraph"/>
      </w:pPr>
      <w:r>
        <w:t xml:space="preserve">A Literature Review on the role of a lawyer in Germany, with a specific focus on the city of Munich, is essential for understanding the legal landscape shaped by both national frameworks and local dynamics. This review synthesizes existing academic literature, legal journals, and professional insights to explore the unique challenges and opportunities faced by lawyers practicing in Munich. The intersection of Germany’s civil law system with Munich’s economic significance—home to global corporations like BMW, Siemens, and Adidas—creates a distinctive environment that demands specialized expertise.</w:t>
      </w:r>
    </w:p>
    <w:bookmarkEnd w:id="20"/>
    <w:bookmarkStart w:id="21" w:name="legal-framework-in-germany"/>
    <w:p>
      <w:pPr>
        <w:pStyle w:val="Heading2"/>
      </w:pPr>
      <w:r>
        <w:t xml:space="preserve">Legal Framework in Germany</w:t>
      </w:r>
    </w:p>
    <w:p>
      <w:pPr>
        <w:pStyle w:val="FirstParagraph"/>
      </w:pPr>
      <w:r>
        <w:t xml:space="preserve">Germany operates under a civil law system rooted in the German Civil Code (BGB), which emphasizes codified statutes over judicial precedent. This contrasts with common law systems like those in the U.S. or U.K., where court decisions play a more prominent role. For lawyers practicing in Germany, understanding this structure is critical, as it governs everything from contractual disputes to corporate governance (Hoffmann &amp; Kühn, 2018). In Munich, the Bavarian legal traditions further shape judicial interpretations and procedural nuances.</w:t>
      </w:r>
    </w:p>
    <w:bookmarkEnd w:id="21"/>
    <w:bookmarkStart w:id="22" w:name="Xd403edacb948d2d8038c567fc8801c14448d2b1"/>
    <w:p>
      <w:pPr>
        <w:pStyle w:val="Heading2"/>
      </w:pPr>
      <w:r>
        <w:t xml:space="preserve">Education and Licensing Requirements for Lawyers in Germany</w:t>
      </w:r>
    </w:p>
    <w:p>
      <w:pPr>
        <w:pStyle w:val="FirstParagraph"/>
      </w:pPr>
      <w:r>
        <w:t xml:space="preserve">Becoming a lawyer in Germany involves rigorous academic training and practical experience. Prospective lawyers must complete a degree in law (Juristische Staatsprüfung) at a recognized university, followed by the First State Exam (Erste Juristische Staatsprüfung). This is succeeded by two years of legal apprenticeship (Referendariat), culminating in the Second State Exam. In Munich, institutions like Ludwig Maximilian University of Munich (LMU) are pivotal for legal education, offering programs tailored to national and European law (Schulze &amp; Wagner, 2020). The licensing process ensures that lawyers are well-versed in both general principles and local practices unique to Bavaria.</w:t>
      </w:r>
    </w:p>
    <w:bookmarkEnd w:id="22"/>
    <w:bookmarkStart w:id="23" w:name="Xf4b02af87f656145842bab56f5a37c85f0ca848"/>
    <w:p>
      <w:pPr>
        <w:pStyle w:val="Heading2"/>
      </w:pPr>
      <w:r>
        <w:t xml:space="preserve">Specialized Practice Areas in Munich’s Legal Market</w:t>
      </w:r>
    </w:p>
    <w:p>
      <w:pPr>
        <w:pStyle w:val="FirstParagraph"/>
      </w:pPr>
      <w:r>
        <w:t xml:space="preserve">Munich’s economy, dominated by industries such as automotive manufacturing, technology, and finance, has created high demand for specialized legal services. Corporate law is a cornerstone of practice here, with lawyers advising on mergers and acquisitions (M&amp;A), compliance with EU regulations, and international trade agreements. Intellectual property (IP) law also thrives due to Munich’s prominence in innovation. Additionally, tax law plays a significant role given Germany’s complex fiscal policies and the city’s status as a financial hub for multinational enterprises (Krause &amp; Müller, 2019).</w:t>
      </w:r>
    </w:p>
    <w:bookmarkEnd w:id="23"/>
    <w:bookmarkStart w:id="24" w:name="X469831e69dbd393a16901a88aa81cf54fede524"/>
    <w:p>
      <w:pPr>
        <w:pStyle w:val="Heading2"/>
      </w:pPr>
      <w:r>
        <w:t xml:space="preserve">Challenges and Contemporary Issues Facing Lawyers in Munich</w:t>
      </w:r>
    </w:p>
    <w:p>
      <w:pPr>
        <w:pStyle w:val="FirstParagraph"/>
      </w:pPr>
      <w:r>
        <w:t xml:space="preserve">German lawyers in Munich face several challenges, including navigating multilingual legal environments due to the city’s international clientele. The EU’s expanding influence on national law also requires ongoing education on directives related to data protection (GDPR) and cross-border litigation. Furthermore, the digitalization of legal services has introduced competition from tech-driven platforms offering virtual consultations and automated document drafting. Ethical considerations in a globalized economy, such as conflict-of-interest issues involving foreign subsidiaries, are increasingly complex (Fischer &amp; Schmidt, 2021).</w:t>
      </w:r>
    </w:p>
    <w:bookmarkEnd w:id="24"/>
    <w:bookmarkStart w:id="25" w:name="case-studies-and-local-insights"/>
    <w:p>
      <w:pPr>
        <w:pStyle w:val="Heading2"/>
      </w:pPr>
      <w:r>
        <w:t xml:space="preserve">Case Studies and Local Insights</w:t>
      </w:r>
    </w:p>
    <w:p>
      <w:pPr>
        <w:pStyle w:val="FirstParagraph"/>
      </w:pPr>
      <w:r>
        <w:t xml:space="preserve">Recent studies highlight the role of Munich-based law firms in high-profile cases. For instance, legal teams in Munich have represented companies in disputes over patent infringements related to automotive technology. Another example is the involvement of local attorneys in EU-funded projects addressing environmental regulations, reflecting Germany’s commitment to sustainability (Lange &amp; Petersen, 2022). These cases underscore the need for lawyers to balance technical expertise with an understanding of socio-political trends.</w:t>
      </w:r>
    </w:p>
    <w:bookmarkEnd w:id="25"/>
    <w:bookmarkStart w:id="26" w:name="X39ddd2f0ebe6245ff9e9d5d8997a8e1444b00ee"/>
    <w:p>
      <w:pPr>
        <w:pStyle w:val="Heading2"/>
      </w:pPr>
      <w:r>
        <w:t xml:space="preserve">Conclusion and Future Research Directions</w:t>
      </w:r>
    </w:p>
    <w:p>
      <w:pPr>
        <w:pStyle w:val="FirstParagraph"/>
      </w:pPr>
      <w:r>
        <w:t xml:space="preserve">The Literature Review on lawyers in Germany Munich reveals a profession deeply intertwined with the city’s economic and legal ecosystems. While the rigorous educational pathways and specialization demands are consistent with national standards, Munich’s unique industrial landscape introduces distinct challenges. Future research could explore the impact of AI-driven legal tools on traditional practice models or investigate how young lawyers adapt to Germany’s stringent licensing processes. As Germany continues to evolve within the EU, further studies on transnational legal issues in Munich will be crucial for professionals and academics alike.</w:t>
      </w:r>
    </w:p>
    <w:p>
      <w:pPr>
        <w:pStyle w:val="BodyText"/>
      </w:pPr>
      <w:r>
        <w:rPr>
          <w:iCs/>
          <w:i/>
        </w:rPr>
        <w:t xml:space="preserve">References (Note: Actual citations would follow academic formatting guidelines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Germany Munich</dc:title>
  <dc:creator/>
  <dc:language>en</dc:language>
  <cp:keywords/>
  <dcterms:created xsi:type="dcterms:W3CDTF">2026-07-24T16:27:18Z</dcterms:created>
  <dcterms:modified xsi:type="dcterms:W3CDTF">2026-07-24T16:27:18Z</dcterms:modified>
</cp:coreProperties>
</file>

<file path=docProps/custom.xml><?xml version="1.0" encoding="utf-8"?>
<Properties xmlns="http://schemas.openxmlformats.org/officeDocument/2006/custom-properties" xmlns:vt="http://schemas.openxmlformats.org/officeDocument/2006/docPropsVTypes"/>
</file>