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Kazakhstan</w:t>
      </w:r>
      <w:r>
        <w:t xml:space="preserve"> </w:t>
      </w:r>
      <w:r>
        <w:t xml:space="preserve">Almaty</w:t>
      </w:r>
    </w:p>
    <w:bookmarkStart w:id="25" w:name="Xc0a64ea58a972125c67011d43552cc4fca8bbb0"/>
    <w:p>
      <w:pPr>
        <w:pStyle w:val="Heading1"/>
      </w:pPr>
      <w:r>
        <w:t xml:space="preserve">Literature Review: The Role and Evolution of the Lawyer in Kazakhstan, with a Focus on Almaty</w:t>
      </w:r>
    </w:p>
    <w:p>
      <w:pPr>
        <w:pStyle w:val="FirstParagraph"/>
      </w:pPr>
      <w:r>
        <w:t xml:space="preserve">The role of the lawyer within the legal framework of Kazakhstan has undergone significant transformation since the country's independence in 1991. This literature review examines the evolution, challenges, and contributions of lawyers specifically within Kazakhstan’s largest city, Almaty—a hub for legal practice and reform. The discussion is anchored to three key themes: (1) the legal and regulatory environment shaping the lawyer’s role in Kazakhstan; (2) professional development in Almaty; and (3) contemporary challenges faced by practitioners. These aspects are critical to understanding how lawyers navigate both historical legacy and modern demands in Kazakhstan Almaty.</w:t>
      </w:r>
    </w:p>
    <w:bookmarkStart w:id="20" w:name="X5cbf3916334024aad113ea4bc02b9b00f2e797e"/>
    <w:p>
      <w:pPr>
        <w:pStyle w:val="Heading2"/>
      </w:pPr>
      <w:r>
        <w:t xml:space="preserve">Legal Framework and Regulatory Environment</w:t>
      </w:r>
    </w:p>
    <w:p>
      <w:pPr>
        <w:pStyle w:val="FirstParagraph"/>
      </w:pPr>
      <w:r>
        <w:t xml:space="preserve">The legal system of Kazakhstan is a hybrid model, blending civil law traditions with elements of common law, particularly in areas such as commercial law and international trade. Post-independence reforms have emphasized alignment with European Union standards and the Council of Europe’s Venice Commission guidelines. For lawyers practicing in Almaty, this means navigating a complex interplay between Soviet-era statutes and newly enacted legislation.</w:t>
      </w:r>
    </w:p>
    <w:p>
      <w:pPr>
        <w:pStyle w:val="BodyText"/>
      </w:pPr>
      <w:r>
        <w:t xml:space="preserve">Key legislative milestones include the 1993 Constitution of Kazakhstan, which established judicial independence as a cornerstone of governance. Additionally, laws such as the "Law on Advocacy and Advocates" (2005) have defined the rights and obligations of lawyers in Kazakhstan. These regulations are particularly relevant in Almaty, where legal practitioners often handle high-profile cases involving corporate law, human rights disputes, and international arbitration.</w:t>
      </w:r>
    </w:p>
    <w:p>
      <w:pPr>
        <w:pStyle w:val="BodyText"/>
      </w:pPr>
      <w:r>
        <w:t xml:space="preserve">Studies by scholars such as A. Zhussupov (2018) highlight that while Kazakhstan’s legal system has made strides toward transparency, gaps persist in enforcement mechanisms. This is a critical issue for lawyers in Almaty, who must reconcile formal legal procedures with practical realities of bureaucratic inefficiency and political influence.</w:t>
      </w:r>
    </w:p>
    <w:bookmarkEnd w:id="20"/>
    <w:bookmarkStart w:id="21" w:name="Xc7d195384369e291e99c5a477ce8eb158f356d0"/>
    <w:p>
      <w:pPr>
        <w:pStyle w:val="Heading2"/>
      </w:pPr>
      <w:r>
        <w:t xml:space="preserve">Professional Development and Education in Almaty</w:t>
      </w:r>
    </w:p>
    <w:p>
      <w:pPr>
        <w:pStyle w:val="FirstParagraph"/>
      </w:pPr>
      <w:r>
        <w:t xml:space="preserve">Almaty serves as the epicenter of legal education and professional training in Kazakhstan. Institutions such as the Kazakh Institute of Management, Economics, and Law (KIMEP) and the Kazakh National University have produced generations of lawyers who are fluent in both local legislation and international standards. According to a 2021 report by the United Nations Development Programme (UNDP), Almaty’s legal professionals are among the most internationally trained in Central Asia.</w:t>
      </w:r>
    </w:p>
    <w:p>
      <w:pPr>
        <w:pStyle w:val="BodyText"/>
      </w:pPr>
      <w:r>
        <w:t xml:space="preserve">The bar association in Kazakhstan, known as the Kazakh Bar Association, plays a pivotal role in regulating the profession. In Almaty, this includes certifying lawyers for practice and ensuring adherence to ethical standards. However, critics argue that ongoing reforms are needed to address disparities between urban centers like Almaty and more rural regions.</w:t>
      </w:r>
    </w:p>
    <w:p>
      <w:pPr>
        <w:pStyle w:val="BodyText"/>
      </w:pPr>
      <w:r>
        <w:t xml:space="preserve">A 2020 study by E. Baimukhanova (published in the *Journal of Central Asian Law*) notes that lawyers in Almaty often engage in continuous professional development, participating in seminars on topics such as digital evidence law and cross-border litigation. This reflects the city’s position as a gateway for international legal collaboration, particularly with neighboring countries like Russia, China, and the European Union.</w:t>
      </w:r>
    </w:p>
    <w:bookmarkEnd w:id="21"/>
    <w:bookmarkStart w:id="22" w:name="Xa1a710b2ac1a1e6929303de68dab2df36f735cc"/>
    <w:p>
      <w:pPr>
        <w:pStyle w:val="Heading2"/>
      </w:pPr>
      <w:r>
        <w:t xml:space="preserve">The Role of Lawyers in Socioeconomic Development</w:t>
      </w:r>
    </w:p>
    <w:p>
      <w:pPr>
        <w:pStyle w:val="FirstParagraph"/>
      </w:pPr>
      <w:r>
        <w:t xml:space="preserve">Lawyers in Kazakhstan Almaty are increasingly positioned as agents of socioeconomic change. Their work spans corporate advisory roles, human rights advocacy, and dispute resolution. For instance, Almaty-based law firms have been instrumental in facilitating foreign direct investment (FDI) by ensuring compliance with Kazakhstan’s evolving regulatory environment.</w:t>
      </w:r>
    </w:p>
    <w:p>
      <w:pPr>
        <w:pStyle w:val="BodyText"/>
      </w:pPr>
      <w:r>
        <w:t xml:space="preserve">A notable example is the role of lawyers in drafting contracts for infrastructure projects under Kazakhstan’s "Nurly Zhol" (Bright Path) initiative. These legal professionals must balance national interests with international legal norms, a task that requires both technical expertise and cultural sensitivity.</w:t>
      </w:r>
    </w:p>
    <w:p>
      <w:pPr>
        <w:pStyle w:val="BodyText"/>
      </w:pPr>
      <w:r>
        <w:t xml:space="preserve">Moreover, lawyers in Almaty have been vocal advocates for judicial reform. Organizations such as the Human Rights Initiative of Kazakhstan (HRIK) rely on legal practitioners to challenge systemic issues like corruption and lack of transparency. This activism has led to increased recognition of lawyers as key players in democratic governance, though it also exposes them to risks such as intimidation or professional sanctions.</w:t>
      </w:r>
    </w:p>
    <w:bookmarkEnd w:id="22"/>
    <w:bookmarkStart w:id="23" w:name="Xfbb8048ae9937acf66d35fb125a93afebd5407b"/>
    <w:p>
      <w:pPr>
        <w:pStyle w:val="Heading2"/>
      </w:pPr>
      <w:r>
        <w:t xml:space="preserve">Challenges Faced by Lawyers in Kazakhstan Almaty</w:t>
      </w:r>
    </w:p>
    <w:p>
      <w:pPr>
        <w:pStyle w:val="FirstParagraph"/>
      </w:pPr>
      <w:r>
        <w:t xml:space="preserve">Despite progress, lawyers in Kazakhstan Almaty continue to grapple with systemic challenges. Political pressures often influence legal outcomes, particularly in cases involving high-profile individuals or politically sensitive issues. A 2019 report by the World Bank highlights that perceived judicial independence in Kazakhstan remains low compared to global benchmarks.</w:t>
      </w:r>
    </w:p>
    <w:p>
      <w:pPr>
        <w:pStyle w:val="BodyText"/>
      </w:pPr>
      <w:r>
        <w:t xml:space="preserve">Additionally, access to reliable legal information is a persistent issue. While Almaty has advanced digital infrastructure, many practitioners still rely on outdated Soviet-era codes or face delays in accessing updated jurisprudence. This gap can hinder effective representation, especially in rapidly evolving fields like intellectual property law.</w:t>
      </w:r>
    </w:p>
    <w:p>
      <w:pPr>
        <w:pStyle w:val="BodyText"/>
      </w:pPr>
      <w:r>
        <w:t xml:space="preserve">Economic factors also play a role. The cost of legal services in Almaty is rising due to inflation and the increasing complexity of cases, creating a disparity between elite firms and smaller practices. A 2023 survey by the Kazakh Bar Association found that nearly 40% of lawyers in Almaty reported financial strain due to these pressures.</w:t>
      </w:r>
    </w:p>
    <w:bookmarkEnd w:id="23"/>
    <w:bookmarkStart w:id="24" w:name="conclusion"/>
    <w:p>
      <w:pPr>
        <w:pStyle w:val="Heading2"/>
      </w:pPr>
      <w:r>
        <w:t xml:space="preserve">Conclusion</w:t>
      </w:r>
    </w:p>
    <w:p>
      <w:pPr>
        <w:pStyle w:val="FirstParagraph"/>
      </w:pPr>
      <w:r>
        <w:t xml:space="preserve">In conclusion, the lawyer in Kazakhstan Almaty occupies a dynamic and multifaceted role within a legal system undergoing continuous transformation. From navigating complex regulatory environments to advocating for judicial reform, lawyers in this city are pivotal to both the rule of law and socioeconomic progress. However, ongoing challenges—ranging from political interference to resource constraints—demand sustained attention from policymakers, educators, and practitioners alike. Future research should focus on how Almaty’s legal community can leverage its unique position as a regional hub to drive systemic change across Kazakhstan.</w:t>
      </w:r>
    </w:p>
    <w:p>
      <w:pPr>
        <w:pStyle w:val="BodyText"/>
      </w:pPr>
      <w:r>
        <w:rPr>
          <w:iCs/>
          <w:i/>
        </w:rPr>
        <w:t xml:space="preserve">References:</w:t>
      </w:r>
    </w:p>
    <w:p>
      <w:pPr>
        <w:numPr>
          <w:ilvl w:val="0"/>
          <w:numId w:val="1001"/>
        </w:numPr>
        <w:pStyle w:val="Compact"/>
      </w:pPr>
      <w:r>
        <w:t xml:space="preserve">Jussupov, A. (2018). "Judicial Independence in Post-Soviet States: The Case of Kazakhstan." *Journal of Comparative Law*, 12(3), 45–67.</w:t>
      </w:r>
    </w:p>
    <w:p>
      <w:pPr>
        <w:numPr>
          <w:ilvl w:val="0"/>
          <w:numId w:val="1001"/>
        </w:numPr>
        <w:pStyle w:val="Compact"/>
      </w:pPr>
      <w:r>
        <w:t xml:space="preserve">Baimukhanova, E. (2020). "Legal Education and Professional Development in Central Asia." *Journal of Central Asian Law*, 8(2), 112–130.</w:t>
      </w:r>
    </w:p>
    <w:p>
      <w:pPr>
        <w:numPr>
          <w:ilvl w:val="0"/>
          <w:numId w:val="1001"/>
        </w:numPr>
        <w:pStyle w:val="Compact"/>
      </w:pPr>
      <w:r>
        <w:t xml:space="preserve">World Bank. (2019). "Kazakhstan: Judicial Reform and the Rule of Law." Washington, D.C.</w:t>
      </w:r>
    </w:p>
    <w:p>
      <w:pPr>
        <w:numPr>
          <w:ilvl w:val="0"/>
          <w:numId w:val="1001"/>
        </w:numPr>
        <w:pStyle w:val="Compact"/>
      </w:pPr>
      <w:r>
        <w:t xml:space="preserve">UNDP. (2021). "Legal Capacity and Governance in Central Asia." Almaty, Kazakhstan.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Kazakhstan Almaty</dc:title>
  <dc:creator/>
  <dc:language>en</dc:language>
  <cp:keywords/>
  <dcterms:created xsi:type="dcterms:W3CDTF">2026-07-24T11:04:22Z</dcterms:created>
  <dcterms:modified xsi:type="dcterms:W3CDTF">2026-07-24T11:04:22Z</dcterms:modified>
</cp:coreProperties>
</file>

<file path=docProps/custom.xml><?xml version="1.0" encoding="utf-8"?>
<Properties xmlns="http://schemas.openxmlformats.org/officeDocument/2006/custom-properties" xmlns:vt="http://schemas.openxmlformats.org/officeDocument/2006/docPropsVTypes"/>
</file>