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bbd67a0c61c035e85ca0f75d86721bb9fa3981a"/>
    <w:p>
      <w:pPr>
        <w:pStyle w:val="Heading1"/>
      </w:pPr>
      <w:r>
        <w:t xml:space="preserve">Literature Review: The Role and Challenges of a Marketing Manager in Colombia, Bogotá</w:t>
      </w:r>
    </w:p>
    <w:p>
      <w:pPr>
        <w:pStyle w:val="FirstParagraph"/>
      </w:pPr>
      <w:r>
        <w:t xml:space="preserve">This literature review explores the evolving role of a</w:t>
      </w:r>
      <w:r>
        <w:t xml:space="preserve"> </w:t>
      </w:r>
      <w:r>
        <w:rPr>
          <w:bCs/>
          <w:b/>
        </w:rPr>
        <w:t xml:space="preserve">Marketing Manager</w:t>
      </w:r>
      <w:r>
        <w:t xml:space="preserve"> </w:t>
      </w:r>
      <w:r>
        <w:t xml:space="preserve">within the unique socio-economic and cultural context of</w:t>
      </w:r>
      <w:r>
        <w:t xml:space="preserve"> </w:t>
      </w:r>
      <w:r>
        <w:rPr>
          <w:bCs/>
          <w:b/>
        </w:rPr>
        <w:t xml:space="preserve">Bogotá, Colombia</w:t>
      </w:r>
      <w:r>
        <w:t xml:space="preserve">. By synthesizing existing research, case studies, and industry reports, this document examines how marketing strategies are adapted to meet the demands of Bogotá’s dynamic market while addressing regional challenges such as urbanization, digital transformation, and economic diversity. The focus is on understanding how</w:t>
      </w:r>
      <w:r>
        <w:t xml:space="preserve"> </w:t>
      </w:r>
      <w:r>
        <w:rPr>
          <w:bCs/>
          <w:b/>
        </w:rPr>
        <w:t xml:space="preserve">Marketing Managers</w:t>
      </w:r>
      <w:r>
        <w:t xml:space="preserve"> </w:t>
      </w:r>
      <w:r>
        <w:t xml:space="preserve">navigate these factors to achieve organizational goals in one of Latin America’s most influential cities.</w:t>
      </w:r>
    </w:p>
    <w:bookmarkStart w:id="21" w:name="X44b4dc828675d3465c971608c41ad381ba0f15f"/>
    <w:p>
      <w:pPr>
        <w:pStyle w:val="Heading2"/>
      </w:pPr>
      <w:r>
        <w:t xml:space="preserve">Theoretical Frameworks for Marketing Management in Bogotá</w:t>
      </w:r>
    </w:p>
    <w:p>
      <w:pPr>
        <w:pStyle w:val="FirstParagraph"/>
      </w:pPr>
      <w:r>
        <w:t xml:space="preserve">The foundational theories of marketing management, such as the</w:t>
      </w:r>
      <w:r>
        <w:t xml:space="preserve"> </w:t>
      </w:r>
      <w:r>
        <w:rPr>
          <w:iCs/>
          <w:i/>
        </w:rPr>
        <w:t xml:space="preserve">marketing mix (4Ps)</w:t>
      </w:r>
      <w:r>
        <w:t xml:space="preserve">,</w:t>
      </w:r>
      <w:r>
        <w:t xml:space="preserve"> </w:t>
      </w:r>
      <w:r>
        <w:rPr>
          <w:iCs/>
          <w:i/>
        </w:rPr>
        <w:t xml:space="preserve">customer relationship management (CRM)</w:t>
      </w:r>
      <w:r>
        <w:t xml:space="preserve">, and</w:t>
      </w:r>
      <w:r>
        <w:t xml:space="preserve"> </w:t>
      </w:r>
      <w:r>
        <w:rPr>
          <w:iCs/>
          <w:i/>
        </w:rPr>
        <w:t xml:space="preserve">demand-side economics</w:t>
      </w:r>
      <w:r>
        <w:t xml:space="preserve">, are widely applicable in Bogotá. However, their implementation must be tailored to the local context. For instance, Bogotá’s urbanization rate of over 98% (</w:t>
      </w:r>
      <w:hyperlink r:id="rId20">
        <w:r>
          <w:rPr>
            <w:rStyle w:val="Hyperlink"/>
          </w:rPr>
          <w:t xml:space="preserve">Bogotá City Council, 2023</w:t>
        </w:r>
      </w:hyperlink>
      <w:r>
        <w:t xml:space="preserve">) has created a hyper-connected consumer base that prioritizes digital engagement. A</w:t>
      </w:r>
      <w:r>
        <w:t xml:space="preserve"> </w:t>
      </w:r>
      <w:r>
        <w:rPr>
          <w:bCs/>
          <w:b/>
        </w:rPr>
        <w:t xml:space="preserve">Marketing Manager</w:t>
      </w:r>
      <w:r>
        <w:t xml:space="preserve"> </w:t>
      </w:r>
      <w:r>
        <w:t xml:space="preserve">in this environment must integrate mobile-first strategies and social media analytics to compete effectively.</w:t>
      </w:r>
    </w:p>
    <w:p>
      <w:pPr>
        <w:pStyle w:val="BodyText"/>
      </w:pPr>
      <w:r>
        <w:t xml:space="preserve">Cultural dimensions theory, as proposed by Hofstede, highlights Bogotá’s collectivist tendencies and high uncertainty avoidance, which influence consumer behavior. Research indicates that Colombian consumers are more receptive to personalized marketing efforts rooted in local traditions or community values (Castillo &amp; Rojas, 2021). Thus,</w:t>
      </w:r>
      <w:r>
        <w:t xml:space="preserve"> </w:t>
      </w:r>
      <w:r>
        <w:rPr>
          <w:bCs/>
          <w:b/>
        </w:rPr>
        <w:t xml:space="preserve">Marketing Managers</w:t>
      </w:r>
      <w:r>
        <w:t xml:space="preserve"> </w:t>
      </w:r>
      <w:r>
        <w:t xml:space="preserve">must balance global trends with localized narratives to avoid alienating the audience.</w:t>
      </w:r>
    </w:p>
    <w:bookmarkEnd w:id="21"/>
    <w:bookmarkStart w:id="23" w:name="economic-and-regulatory-landscape"/>
    <w:p>
      <w:pPr>
        <w:pStyle w:val="Heading2"/>
      </w:pPr>
      <w:r>
        <w:t xml:space="preserve">Economic and Regulatory Landscape</w:t>
      </w:r>
    </w:p>
    <w:p>
      <w:pPr>
        <w:pStyle w:val="FirstParagraph"/>
      </w:pPr>
      <w:r>
        <w:t xml:space="preserve">Bogotá’s economy is diverse, with significant contributions from sectors such as technology, finance, tourism, and agriculture. However, economic volatility due to factors like inflation (10.8% in 2023) and fluctuating commodity prices poses challenges for marketing budgets (</w:t>
      </w:r>
      <w:hyperlink r:id="rId22">
        <w:r>
          <w:rPr>
            <w:rStyle w:val="Hyperlink"/>
          </w:rPr>
          <w:t xml:space="preserve">DANE Colombia</w:t>
        </w:r>
      </w:hyperlink>
      <w:r>
        <w:t xml:space="preserve">). A</w:t>
      </w:r>
      <w:r>
        <w:t xml:space="preserve"> </w:t>
      </w:r>
      <w:r>
        <w:rPr>
          <w:bCs/>
          <w:b/>
        </w:rPr>
        <w:t xml:space="preserve">Marketing Manager</w:t>
      </w:r>
      <w:r>
        <w:t xml:space="preserve"> </w:t>
      </w:r>
      <w:r>
        <w:t xml:space="preserve">must prioritize cost-effective strategies such as digital campaigns, influencer partnerships, and data-driven decision-making to maximize ROI in constrained environments.</w:t>
      </w:r>
    </w:p>
    <w:p>
      <w:pPr>
        <w:pStyle w:val="BodyText"/>
      </w:pPr>
      <w:r>
        <w:t xml:space="preserve">Regulatory frameworks in Colombia also require compliance with advertising laws that prohibit misleading claims or exploitative content. For example, Bogotá’s municipal regulations on outdoor advertising emphasize sustainability and community impact (Bogotá Environmental Agency, 2022). This necessitates a strategic approach to campaign design, ensuring alignment with both national and local policies.</w:t>
      </w:r>
    </w:p>
    <w:bookmarkEnd w:id="23"/>
    <w:bookmarkStart w:id="25" w:name="Xd6c72084352cd65dd546cb569b8c6be9ed6f49a"/>
    <w:p>
      <w:pPr>
        <w:pStyle w:val="Heading2"/>
      </w:pPr>
      <w:r>
        <w:t xml:space="preserve">Technological Advancements and Digital Transformation</w:t>
      </w:r>
    </w:p>
    <w:p>
      <w:pPr>
        <w:pStyle w:val="FirstParagraph"/>
      </w:pPr>
      <w:r>
        <w:t xml:space="preserve">Bogotá has emerged as a hub for digital innovation in Latin America, with over 80% of the population having internet access (</w:t>
      </w:r>
      <w:hyperlink r:id="rId24">
        <w:r>
          <w:rPr>
            <w:rStyle w:val="Hyperlink"/>
          </w:rPr>
          <w:t xml:space="preserve">Observatorio de Internet</w:t>
        </w:r>
      </w:hyperlink>
      <w:r>
        <w:t xml:space="preserve">). This has revolutionized marketing practices, requiring</w:t>
      </w:r>
      <w:r>
        <w:t xml:space="preserve"> </w:t>
      </w:r>
      <w:r>
        <w:rPr>
          <w:bCs/>
          <w:b/>
        </w:rPr>
        <w:t xml:space="preserve">Marketing Managers</w:t>
      </w:r>
      <w:r>
        <w:t xml:space="preserve"> </w:t>
      </w:r>
      <w:r>
        <w:t xml:space="preserve">to adopt tools like AI-driven analytics, augmented reality (AR), and virtual reality (VR) for immersive brand experiences. Case studies of companies like Nubank and Rappi demonstrate how digital-first strategies have succeeded in capturing Bogotá’s tech-savvy consumer base.</w:t>
      </w:r>
    </w:p>
    <w:p>
      <w:pPr>
        <w:pStyle w:val="BodyText"/>
      </w:pPr>
      <w:r>
        <w:t xml:space="preserve">However, the rapid adoption of technology also introduces challenges such as data privacy concerns and the need for upskilling teams. A</w:t>
      </w:r>
      <w:r>
        <w:t xml:space="preserve"> </w:t>
      </w:r>
      <w:r>
        <w:rPr>
          <w:bCs/>
          <w:b/>
        </w:rPr>
        <w:t xml:space="preserve">Marketing Manager</w:t>
      </w:r>
      <w:r>
        <w:t xml:space="preserve"> </w:t>
      </w:r>
      <w:r>
        <w:t xml:space="preserve">must stay abreast of trends while ensuring ethical practices, such as compliance with Colombia’s Personal Data Protection Law (Ley 1581 de 2012).</w:t>
      </w:r>
    </w:p>
    <w:bookmarkEnd w:id="25"/>
    <w:bookmarkStart w:id="26" w:name="cultural-and-social-considerations"/>
    <w:p>
      <w:pPr>
        <w:pStyle w:val="Heading2"/>
      </w:pPr>
      <w:r>
        <w:t xml:space="preserve">Cultural and Social Considerations</w:t>
      </w:r>
    </w:p>
    <w:p>
      <w:pPr>
        <w:pStyle w:val="FirstParagraph"/>
      </w:pPr>
      <w:r>
        <w:t xml:space="preserve">Bogotá’s multicultural environment, influenced by indigenous traditions, Spanish colonial heritage, and Afro-Colombian cultures, demands culturally sensitive marketing. For example, campaigns targeting Bogotá’s youth often incorporate hip-hop or reggaeton themes to resonate with local tastes (Cárdenas &amp; López, 2020). Conversely, traditional festivals like the Feria de las Flores require creative integration into brand storytelling to connect with older demographics.</w:t>
      </w:r>
    </w:p>
    <w:p>
      <w:pPr>
        <w:pStyle w:val="BodyText"/>
      </w:pPr>
      <w:r>
        <w:t xml:space="preserve">Social equity and inclusion have also gained prominence. A</w:t>
      </w:r>
      <w:r>
        <w:t xml:space="preserve"> </w:t>
      </w:r>
      <w:r>
        <w:rPr>
          <w:bCs/>
          <w:b/>
        </w:rPr>
        <w:t xml:space="preserve">Marketing Manager</w:t>
      </w:r>
      <w:r>
        <w:t xml:space="preserve"> </w:t>
      </w:r>
      <w:r>
        <w:t xml:space="preserve">in Bogotá must address issues like gender equality and accessibility for marginalized communities. This includes creating campaigns that reflect diverse representation and partnering with local NGOs to build social capital.</w:t>
      </w:r>
    </w:p>
    <w:bookmarkEnd w:id="26"/>
    <w:bookmarkStart w:id="28" w:name="case-studies-and-industry-insights"/>
    <w:p>
      <w:pPr>
        <w:pStyle w:val="Heading2"/>
      </w:pPr>
      <w:r>
        <w:t xml:space="preserve">Case Studies and Industry Insights</w:t>
      </w:r>
    </w:p>
    <w:p>
      <w:pPr>
        <w:pStyle w:val="FirstParagraph"/>
      </w:pPr>
      <w:r>
        <w:t xml:space="preserve">Several studies highlight successful strategies employed by</w:t>
      </w:r>
      <w:r>
        <w:t xml:space="preserve"> </w:t>
      </w:r>
      <w:r>
        <w:rPr>
          <w:bCs/>
          <w:b/>
        </w:rPr>
        <w:t xml:space="preserve">Marketing Managers</w:t>
      </w:r>
      <w:r>
        <w:t xml:space="preserve"> </w:t>
      </w:r>
      <w:r>
        <w:t xml:space="preserve">in Bogotá. For instance, the launch of “Tigo” (a telecommunications provider) leveraged hyper-localized content and partnerships with popular Colombian influencers to dominate the market (</w:t>
      </w:r>
      <w:hyperlink r:id="rId27">
        <w:r>
          <w:rPr>
            <w:rStyle w:val="Hyperlink"/>
          </w:rPr>
          <w:t xml:space="preserve">MercadoLibre Report, 2023</w:t>
        </w:r>
      </w:hyperlink>
      <w:r>
        <w:t xml:space="preserve">). Similarly, Coca-Cola’s “Happy Moments” campaign in Bogotá emphasized community engagement through street art and music festivals, aligning with the city’s creative ethos.</w:t>
      </w:r>
    </w:p>
    <w:p>
      <w:pPr>
        <w:pStyle w:val="BodyText"/>
      </w:pPr>
      <w:r>
        <w:t xml:space="preserve">Conversely, missteps such as a multinational brand’s failure to adapt to Bogotá’s informal economy (e.g., relying solely on formal retail channels) underscore the importance of understanding local consumer behavior.</w:t>
      </w:r>
      <w:r>
        <w:t xml:space="preserve"> </w:t>
      </w:r>
      <w:r>
        <w:rPr>
          <w:bCs/>
          <w:b/>
        </w:rPr>
        <w:t xml:space="preserve">Marketing Managers</w:t>
      </w:r>
      <w:r>
        <w:t xml:space="preserve"> </w:t>
      </w:r>
      <w:r>
        <w:t xml:space="preserve">must balance scalability with adaptability, often collaborating with local consultants or conducting ethnographic research.</w:t>
      </w:r>
    </w:p>
    <w:bookmarkEnd w:id="28"/>
    <w:bookmarkStart w:id="29" w:name="conclusion-and-future-directions"/>
    <w:p>
      <w:pPr>
        <w:pStyle w:val="Heading2"/>
      </w:pPr>
      <w:r>
        <w:t xml:space="preserve">Conclusion and Future Directions</w:t>
      </w:r>
    </w:p>
    <w:p>
      <w:pPr>
        <w:pStyle w:val="FirstParagraph"/>
      </w:pPr>
      <w:r>
        <w:t xml:space="preserve">This literature review underscores the critical role of a</w:t>
      </w:r>
      <w:r>
        <w:t xml:space="preserve"> </w:t>
      </w:r>
      <w:r>
        <w:rPr>
          <w:bCs/>
          <w:b/>
        </w:rPr>
        <w:t xml:space="preserve">Marketing Manager</w:t>
      </w:r>
      <w:r>
        <w:t xml:space="preserve"> </w:t>
      </w:r>
      <w:r>
        <w:t xml:space="preserve">in navigating Bogotá’s unique blend of tradition, innovation, and economic diversity. As Colombia continues to grow as a regional business hub, the demands on</w:t>
      </w:r>
      <w:r>
        <w:t xml:space="preserve"> </w:t>
      </w:r>
      <w:r>
        <w:rPr>
          <w:bCs/>
          <w:b/>
        </w:rPr>
        <w:t xml:space="preserve">Marketing Managers</w:t>
      </w:r>
      <w:r>
        <w:t xml:space="preserve"> </w:t>
      </w:r>
      <w:r>
        <w:t xml:space="preserve">will evolve further. Future research should explore emerging trends such as AI ethics in advertising or the impact of climate change on consumer behavior in Bogotá.</w:t>
      </w:r>
    </w:p>
    <w:p>
      <w:pPr>
        <w:pStyle w:val="BodyText"/>
      </w:pPr>
      <w:r>
        <w:t xml:space="preserve">In conclusion,</w:t>
      </w:r>
      <w:r>
        <w:t xml:space="preserve"> </w:t>
      </w:r>
      <w:r>
        <w:rPr>
          <w:bCs/>
          <w:b/>
        </w:rPr>
        <w:t xml:space="preserve">Bogotá</w:t>
      </w:r>
      <w:r>
        <w:t xml:space="preserve"> </w:t>
      </w:r>
      <w:r>
        <w:t xml:space="preserve">presents both opportunities and challenges for</w:t>
      </w:r>
      <w:r>
        <w:t xml:space="preserve"> </w:t>
      </w:r>
      <w:r>
        <w:rPr>
          <w:bCs/>
          <w:b/>
        </w:rPr>
        <w:t xml:space="preserve">Marketing Managers</w:t>
      </w:r>
      <w:r>
        <w:t xml:space="preserve">, requiring a nuanced understanding of cultural dynamics, technological shifts, and regulatory frameworks. By synthesizing global best practices with localized insights,</w:t>
      </w:r>
      <w:r>
        <w:t xml:space="preserve"> </w:t>
      </w:r>
      <w:r>
        <w:rPr>
          <w:bCs/>
          <w:b/>
        </w:rPr>
        <w:t xml:space="preserve">Marketing Managers</w:t>
      </w:r>
      <w:r>
        <w:t xml:space="preserve"> </w:t>
      </w:r>
      <w:r>
        <w:t xml:space="preserve">can drive sustainable growth in one of Latin America’s most vibrant cities.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bogota.gov.co" TargetMode="External" /><Relationship Type="http://schemas.openxmlformats.org/officeDocument/2006/relationships/hyperlink" Id="rId22" Target="https://www.dane.gov.co" TargetMode="External" /><Relationship Type="http://schemas.openxmlformats.org/officeDocument/2006/relationships/hyperlink" Id="rId27" Target="https://www.mercadolibre.com.co" TargetMode="External" /><Relationship Type="http://schemas.openxmlformats.org/officeDocument/2006/relationships/hyperlink" Id="rId24" Target="https://www.observatoriodeinterne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bogota.gov.co" TargetMode="External" /><Relationship Type="http://schemas.openxmlformats.org/officeDocument/2006/relationships/hyperlink" Id="rId22" Target="https://www.dane.gov.co" TargetMode="External" /><Relationship Type="http://schemas.openxmlformats.org/officeDocument/2006/relationships/hyperlink" Id="rId27" Target="https://www.mercadolibre.com.co" TargetMode="External" /><Relationship Type="http://schemas.openxmlformats.org/officeDocument/2006/relationships/hyperlink" Id="rId24" Target="https://www.observatoriodeinter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Colombia, Bogotá</dc:title>
  <dc:creator/>
  <dc:language>en</dc:language>
  <cp:keywords/>
  <dcterms:created xsi:type="dcterms:W3CDTF">2026-07-24T12:55:35Z</dcterms:created>
  <dcterms:modified xsi:type="dcterms:W3CDTF">2026-07-24T12:55:35Z</dcterms:modified>
</cp:coreProperties>
</file>

<file path=docProps/custom.xml><?xml version="1.0" encoding="utf-8"?>
<Properties xmlns="http://schemas.openxmlformats.org/officeDocument/2006/custom-properties" xmlns:vt="http://schemas.openxmlformats.org/officeDocument/2006/docPropsVTypes"/>
</file>