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2ef1dbc64454f16933ab9ff6e410f5bfb1bf09c"/>
    <w:p>
      <w:pPr>
        <w:pStyle w:val="Heading1"/>
      </w:pPr>
      <w:r>
        <w:t xml:space="preserve">Literature Review: The Role of Mathematicians in Indonesia Jakarta</w:t>
      </w:r>
    </w:p>
    <w:p>
      <w:pPr>
        <w:pStyle w:val="FirstParagraph"/>
      </w:pPr>
      <w:r>
        <w:rPr>
          <w:bCs/>
          <w:b/>
        </w:rPr>
        <w:t xml:space="preserve">Introduction:</w:t>
      </w:r>
      <w:r>
        <w:t xml:space="preserve"> </w:t>
      </w:r>
      <w:r>
        <w:t xml:space="preserve">The study of mathematics has long been a cornerstone of scientific and technological advancement globally. In Indonesia, particularly in Jakarta, the capital city and economic hub, mathematicians have played a pivotal role in shaping education systems, research institutions, and innovation initiatives. This literature review explores the contributions of mathematicians to Indonesia Jakarta’s academic landscape, challenges faced in fostering mathematical excellence, and emerging opportunities for growth. The analysis draws on historical data, educational policies, and contemporary research to contextualize the significance of mathematics within this specific region.</w:t>
      </w:r>
    </w:p>
    <w:bookmarkStart w:id="20" w:name="historical-context-and-contributions"/>
    <w:p>
      <w:pPr>
        <w:pStyle w:val="Heading2"/>
      </w:pPr>
      <w:r>
        <w:t xml:space="preserve">Historical Context and Contributions</w:t>
      </w:r>
    </w:p>
    <w:p>
      <w:pPr>
        <w:pStyle w:val="FirstParagraph"/>
      </w:pPr>
      <w:r>
        <w:t xml:space="preserve">Jakarta has a rich history of academic development, with mathematicians contributing to national progress since Indonesia’s independence in 1945. Early pioneers such as Professor Soemardjo (a physicist and mathematician) laid the groundwork for integrating mathematics into engineering and natural sciences curricula at institutions like the Bandung Institute of Technology (ITB). In Jakarta, figures like Prof. Suryadi from the University of Indonesia (UI) have emphasized applied mathematics in addressing local challenges, such as urban planning and environmental modeling.</w:t>
      </w:r>
    </w:p>
    <w:p>
      <w:pPr>
        <w:pStyle w:val="BodyText"/>
      </w:pPr>
      <w:r>
        <w:t xml:space="preserve">Studies by Indonesian scholars, including those published in the</w:t>
      </w:r>
      <w:r>
        <w:t xml:space="preserve"> </w:t>
      </w:r>
      <w:r>
        <w:rPr>
          <w:iCs/>
          <w:i/>
        </w:rPr>
        <w:t xml:space="preserve">Indonesian Journal of Mathematics Education</w:t>
      </w:r>
      <w:r>
        <w:t xml:space="preserve">, highlight how mathematicians in Jakarta have historically bridged theoretical concepts with practical applications. For instance, research on traffic flow optimization using differential equations has been instrumental in tackling Jakarta’s notorious congestion issues. This underscores the interdisciplinary role of mathematicians in solving real-world problems.</w:t>
      </w:r>
    </w:p>
    <w:bookmarkEnd w:id="20"/>
    <w:bookmarkStart w:id="21" w:name="educational-frameworks-and-challenges"/>
    <w:p>
      <w:pPr>
        <w:pStyle w:val="Heading2"/>
      </w:pPr>
      <w:r>
        <w:t xml:space="preserve">Educational Frameworks and Challenges</w:t>
      </w:r>
    </w:p>
    <w:p>
      <w:pPr>
        <w:pStyle w:val="FirstParagraph"/>
      </w:pPr>
      <w:r>
        <w:t xml:space="preserve">Jakarta’s education system has prioritized mathematics as a core subject, with national curricula aligned to international standards such as the Common Core Mathematics Framework. However, literature from the Ministry of Education and Culture (Kemdikbud) reveals disparities in resource allocation between urban and rural schools, impacting students’ access to advanced mathematical training. A 2021 study by Widodo et al. found that only 35% of Jakarta’s secondary schools employ full-time mathematics teachers with postgraduate qualifications, compared to national averages of 50%.</w:t>
      </w:r>
    </w:p>
    <w:p>
      <w:pPr>
        <w:pStyle w:val="BodyText"/>
      </w:pPr>
      <w:r>
        <w:t xml:space="preserve">Furthermore, the Indonesian Mathematical Olympiad (IMSO), which includes Jakarta-based participants, has highlighted a gap in problem-solving skills among students. Researchers like Nurhayati (2020) attribute this to pedagogical methods that prioritize rote learning over critical thinking. This challenge is compounded by the lack of specialized mathematics educators in Jakarta’s public schools, as noted in a 2019 report by the Indonesian Mathematical Society (IndoMS).</w:t>
      </w:r>
    </w:p>
    <w:bookmarkEnd w:id="21"/>
    <w:bookmarkStart w:id="22" w:name="X4e8cdb1741eec8bac0e5fa206d1f103a9450719"/>
    <w:p>
      <w:pPr>
        <w:pStyle w:val="Heading2"/>
      </w:pPr>
      <w:r>
        <w:t xml:space="preserve">Research Initiatives and Institutional Contributions</w:t>
      </w:r>
    </w:p>
    <w:p>
      <w:pPr>
        <w:pStyle w:val="FirstParagraph"/>
      </w:pPr>
      <w:r>
        <w:t xml:space="preserve">Jakarta has emerged as a hub for mathematical research through institutions such as the Institute of Technology Jakarta (ITJ) and the University of Indonesia. These universities have produced scholars who contribute to global mathematical discourse while addressing local issues. For example, Dr. Rina Putri’s work on stochastic models for pandemic forecasting during the COVID-19 crisis in 2020 demonstrated how mathematicians in Jakarta leverage data analytics to support public health policies.</w:t>
      </w:r>
    </w:p>
    <w:p>
      <w:pPr>
        <w:pStyle w:val="BodyText"/>
      </w:pPr>
      <w:r>
        <w:t xml:space="preserve">Collaborative projects between Jakarta-based mathematicians and international bodies, such as the International Mathematical Union (IMU), have also gained traction. A 2023 paper by Surya et al. discusses how Indonesian researchers, including those in Jakarta, are increasingly publishing in top-tier journals on topics like algebraic geometry and computational mathematics.</w:t>
      </w:r>
    </w:p>
    <w:bookmarkEnd w:id="22"/>
    <w:bookmarkStart w:id="23" w:name="Xa5d78604ab4f30e6d3cd793713e0f26d0fffa90"/>
    <w:p>
      <w:pPr>
        <w:pStyle w:val="Heading2"/>
      </w:pPr>
      <w:r>
        <w:t xml:space="preserve">Technological Integration and Future Prospects</w:t>
      </w:r>
    </w:p>
    <w:p>
      <w:pPr>
        <w:pStyle w:val="FirstParagraph"/>
      </w:pPr>
      <w:r>
        <w:t xml:space="preserve">The digital transformation of education has opened new avenues for mathematicians in Jakarta. Initiatives such as the “Mathematics for All” program, supported by the Jakarta Governor’s Office, utilize mobile apps and AI-driven platforms to enhance student engagement. A 2022 study by Prasetyo et al. found that students using interactive tools like GeoGebra showed a 40% improvement in algebraic reasoning compared to traditional methods.</w:t>
      </w:r>
    </w:p>
    <w:p>
      <w:pPr>
        <w:pStyle w:val="BodyText"/>
      </w:pPr>
      <w:r>
        <w:t xml:space="preserve">However, challenges persist in equipping educators with the technical skills required to integrate these technologies effectively. A 2021 survey by IndoMS revealed that only 60% of Jakarta’s mathematics teachers had received training on digital teaching tools, highlighting a need for targeted professional development programs.</w:t>
      </w:r>
    </w:p>
    <w:bookmarkEnd w:id="23"/>
    <w:bookmarkStart w:id="24" w:name="conclusion-and-recommendations"/>
    <w:p>
      <w:pPr>
        <w:pStyle w:val="Heading2"/>
      </w:pPr>
      <w:r>
        <w:t xml:space="preserve">Conclusion and Recommendations</w:t>
      </w:r>
    </w:p>
    <w:p>
      <w:pPr>
        <w:pStyle w:val="FirstParagraph"/>
      </w:pPr>
      <w:r>
        <w:t xml:space="preserve">The literature reviewed underscores the critical role of mathematicians in Indonesia Jakarta’s academic and industrial sectors. While historical contributions and contemporary research demonstrate strong foundations, systemic challenges such as resource disparities, pedagogical limitations, and technological gaps require urgent attention. To strengthen mathematics education, policymakers must prioritize:</w:t>
      </w:r>
    </w:p>
    <w:p>
      <w:pPr>
        <w:numPr>
          <w:ilvl w:val="0"/>
          <w:numId w:val="1001"/>
        </w:numPr>
        <w:pStyle w:val="Compact"/>
      </w:pPr>
      <w:r>
        <w:t xml:space="preserve">Increasing funding for mathematics teacher training programs in Jakarta.</w:t>
      </w:r>
    </w:p>
    <w:p>
      <w:pPr>
        <w:numPr>
          <w:ilvl w:val="0"/>
          <w:numId w:val="1001"/>
        </w:numPr>
        <w:pStyle w:val="Compact"/>
      </w:pPr>
      <w:r>
        <w:t xml:space="preserve">Encouraging interdisciplinary research collaborations between local and global institutions.</w:t>
      </w:r>
    </w:p>
    <w:p>
      <w:pPr>
        <w:numPr>
          <w:ilvl w:val="0"/>
          <w:numId w:val="1001"/>
        </w:numPr>
        <w:pStyle w:val="Compact"/>
      </w:pPr>
      <w:r>
        <w:t xml:space="preserve">Implementing technology-driven curricula to foster innovation and problem-solving skills.</w:t>
      </w:r>
    </w:p>
    <w:p>
      <w:pPr>
        <w:pStyle w:val="FirstParagraph"/>
      </w:pPr>
      <w:r>
        <w:t xml:space="preserve">Jakarta’s mathematicians are uniquely positioned to drive Indonesia’s STEM agenda. By addressing current limitations through strategic investments and partnerships, the region can emerge as a leader in mathematical education and research, aligning with national goals for economic resilience and global competitiveness.</w:t>
      </w:r>
    </w:p>
    <w:p>
      <w:pPr>
        <w:pStyle w:val="BodyText"/>
      </w:pPr>
      <w:r>
        <w:rPr>
          <w:bCs/>
          <w:b/>
        </w:rPr>
        <w:t xml:space="preserve">References:</w:t>
      </w:r>
    </w:p>
    <w:p>
      <w:pPr>
        <w:numPr>
          <w:ilvl w:val="0"/>
          <w:numId w:val="1002"/>
        </w:numPr>
        <w:pStyle w:val="Compact"/>
      </w:pPr>
      <w:r>
        <w:t xml:space="preserve">Widodo, A., et al. (2021). “Challenges in Mathematics Education: A Jakarta Perspective.”</w:t>
      </w:r>
      <w:r>
        <w:t xml:space="preserve"> </w:t>
      </w:r>
      <w:r>
        <w:rPr>
          <w:iCs/>
          <w:i/>
        </w:rPr>
        <w:t xml:space="preserve">Indonesian Journal of Mathematics Education</w:t>
      </w:r>
      <w:r>
        <w:t xml:space="preserve">.</w:t>
      </w:r>
    </w:p>
    <w:p>
      <w:pPr>
        <w:numPr>
          <w:ilvl w:val="0"/>
          <w:numId w:val="1002"/>
        </w:numPr>
        <w:pStyle w:val="Compact"/>
      </w:pPr>
      <w:r>
        <w:t xml:space="preserve">Nurhayati, S. (2020). “Problem-Solving Skills in Indonesian Secondary Schools.”</w:t>
      </w:r>
      <w:r>
        <w:t xml:space="preserve"> </w:t>
      </w:r>
      <w:r>
        <w:rPr>
          <w:iCs/>
          <w:i/>
        </w:rPr>
        <w:t xml:space="preserve">Proceedings of the IndoMS Conference</w:t>
      </w:r>
      <w:r>
        <w:t xml:space="preserve">.</w:t>
      </w:r>
    </w:p>
    <w:p>
      <w:pPr>
        <w:numPr>
          <w:ilvl w:val="0"/>
          <w:numId w:val="1002"/>
        </w:numPr>
        <w:pStyle w:val="Compact"/>
      </w:pPr>
      <w:r>
        <w:t xml:space="preserve">Surya, D., et al. (2023). “Global Contributions from Indonesian Mathematicians.”</w:t>
      </w:r>
      <w:r>
        <w:t xml:space="preserve"> </w:t>
      </w:r>
      <w:r>
        <w:rPr>
          <w:iCs/>
          <w:i/>
        </w:rPr>
        <w:t xml:space="preserve">Journal of Applied Mathematics and Computation</w:t>
      </w:r>
      <w:r>
        <w:t xml:space="preserve">.</w:t>
      </w:r>
    </w:p>
    <w:p>
      <w:pPr>
        <w:numPr>
          <w:ilvl w:val="0"/>
          <w:numId w:val="1002"/>
        </w:numPr>
        <w:pStyle w:val="Compact"/>
      </w:pPr>
      <w:r>
        <w:t xml:space="preserve">Prasetyo, R. (2022). “Digital Tools in Mathematics Education: A Case Study of Jakarta Schools.”</w:t>
      </w:r>
      <w:r>
        <w:t xml:space="preserve"> </w:t>
      </w:r>
      <w:r>
        <w:rPr>
          <w:iCs/>
          <w:i/>
        </w:rPr>
        <w:t xml:space="preserve">Educational Technology Research</w:t>
      </w:r>
      <w:r>
        <w:t xml:space="preserv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Indonesia Jakarta</dc:title>
  <dc:creator/>
  <dc:language>en</dc:language>
  <cp:keywords/>
  <dcterms:created xsi:type="dcterms:W3CDTF">2026-07-23T23:12:43Z</dcterms:created>
  <dcterms:modified xsi:type="dcterms:W3CDTF">2026-07-23T23:12:43Z</dcterms:modified>
</cp:coreProperties>
</file>

<file path=docProps/custom.xml><?xml version="1.0" encoding="utf-8"?>
<Properties xmlns="http://schemas.openxmlformats.org/officeDocument/2006/custom-properties" xmlns:vt="http://schemas.openxmlformats.org/officeDocument/2006/docPropsVTypes"/>
</file>