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f7ff2f8d4906b951b7103ddc5420c72f5308952"/>
    <w:p>
      <w:pPr>
        <w:pStyle w:val="Heading1"/>
      </w:pPr>
      <w:r>
        <w:t xml:space="preserve">Literature Review: The Role of Medical Researchers in Uzbekistan Tashkent</w:t>
      </w:r>
    </w:p>
    <w:p>
      <w:pPr>
        <w:pStyle w:val="FirstParagraph"/>
      </w:pPr>
      <w:r>
        <w:rPr>
          <w:bCs/>
          <w:b/>
        </w:rPr>
        <w:t xml:space="preserve">Literature Review:</w:t>
      </w:r>
      <w:r>
        <w:t xml:space="preserve"> </w:t>
      </w:r>
      <w:r>
        <w:t xml:space="preserve">This document serves as a comprehensive analysis of the role, challenges, and contributions of</w:t>
      </w:r>
      <w:r>
        <w:t xml:space="preserve"> </w:t>
      </w:r>
      <w:r>
        <w:rPr>
          <w:bCs/>
          <w:b/>
        </w:rPr>
        <w:t xml:space="preserve">Medical Researchers</w:t>
      </w:r>
      <w:r>
        <w:t xml:space="preserve"> </w:t>
      </w:r>
      <w:r>
        <w:t xml:space="preserve">in the context of</w:t>
      </w:r>
      <w:r>
        <w:t xml:space="preserve"> </w:t>
      </w:r>
      <w:r>
        <w:rPr>
          <w:bCs/>
          <w:b/>
        </w:rPr>
        <w:t xml:space="preserve">Uzbekistan Tashkent</w:t>
      </w:r>
      <w:r>
        <w:t xml:space="preserve">. It synthesizes existing scholarly work, institutional reports, and policy frameworks to highlight how medical research is shaping healthcare outcomes in Central Asia’s largest city. The review emphasizes the interplay between academic innovation, public health needs, and geopolitical factors that influence medical research in this region.</w:t>
      </w:r>
    </w:p>
    <w:bookmarkStart w:id="20" w:name="X9e430a276ea36a6de7d363cb4f1f7da8b86c0cb"/>
    <w:p>
      <w:pPr>
        <w:pStyle w:val="Heading2"/>
      </w:pPr>
      <w:r>
        <w:t xml:space="preserve">1. Historical Context of Medical Research in Uzbekistan Tashkent</w:t>
      </w:r>
    </w:p>
    <w:p>
      <w:pPr>
        <w:pStyle w:val="FirstParagraph"/>
      </w:pPr>
      <w:r>
        <w:t xml:space="preserve">Tashkent has long been a hub for medical education and research in Central Asia. Following Uzbekistan’s independence from the Soviet Union in 1991, the city emerged as a focal point for redefining national healthcare priorities. Early studies (e.g.,</w:t>
      </w:r>
      <w:r>
        <w:t xml:space="preserve"> </w:t>
      </w:r>
      <w:r>
        <w:rPr>
          <w:iCs/>
          <w:i/>
        </w:rPr>
        <w:t xml:space="preserve">Abdullaev et al., 2005</w:t>
      </w:r>
      <w:r>
        <w:t xml:space="preserve">) highlight how Soviet-era institutions, such as Tashkent State Medical University (TSMU), adapted to new challenges, including post-Soviet economic constraints and the need for localized medical research.</w:t>
      </w:r>
    </w:p>
    <w:p>
      <w:pPr>
        <w:pStyle w:val="BodyText"/>
      </w:pPr>
      <w:r>
        <w:rPr>
          <w:bCs/>
          <w:b/>
        </w:rPr>
        <w:t xml:space="preserve">Medical Researchers</w:t>
      </w:r>
      <w:r>
        <w:t xml:space="preserve"> </w:t>
      </w:r>
      <w:r>
        <w:t xml:space="preserve">in this period focused on addressing endemic diseases like tuberculosis, parasitic infections, and cardiovascular disorders. Their work aligned with global health initiatives while emphasizing regional specificity. However, limited funding and reliance on foreign collaborators posed early obstacles to sustained innovation.</w:t>
      </w:r>
    </w:p>
    <w:bookmarkEnd w:id="20"/>
    <w:bookmarkStart w:id="21" w:name="X73739d662e5970a27c2dd6d47d56d7fd4095b6d"/>
    <w:p>
      <w:pPr>
        <w:pStyle w:val="Heading2"/>
      </w:pPr>
      <w:r>
        <w:t xml:space="preserve">2. Current Landscape of Medical Research in Tashkent</w:t>
      </w:r>
    </w:p>
    <w:p>
      <w:pPr>
        <w:pStyle w:val="FirstParagraph"/>
      </w:pPr>
      <w:r>
        <w:rPr>
          <w:bCs/>
          <w:b/>
        </w:rPr>
        <w:t xml:space="preserve">Uzbekistan Tashkent</w:t>
      </w:r>
      <w:r>
        <w:t xml:space="preserve"> </w:t>
      </w:r>
      <w:r>
        <w:t xml:space="preserve">has witnessed significant growth in medical research infrastructure over the past two decades. Institutions like the Institute of Experimental Medicine and the National Center for Public Health have expanded their roles, fostering interdisciplinary collaboration among</w:t>
      </w:r>
      <w:r>
        <w:t xml:space="preserve"> </w:t>
      </w:r>
      <w:r>
        <w:rPr>
          <w:bCs/>
          <w:b/>
        </w:rPr>
        <w:t xml:space="preserve">Medical Researchers</w:t>
      </w:r>
      <w:r>
        <w:t xml:space="preserve">, clinicians, and policymakers.</w:t>
      </w:r>
    </w:p>
    <w:p>
      <w:pPr>
        <w:pStyle w:val="BodyText"/>
      </w:pPr>
      <w:r>
        <w:t xml:space="preserve">A 2021 report by Uzbekistan’s Ministry of Health (</w:t>
      </w:r>
      <w:r>
        <w:rPr>
          <w:iCs/>
          <w:i/>
        </w:rPr>
        <w:t xml:space="preserve">Ministry of Health Uzbekistan, 2021</w:t>
      </w:r>
      <w:r>
        <w:t xml:space="preserve">) notes that Tashkent now hosts several biotechnology startups and research centers focused on genomics, infectious disease control, and telemedicine. These developments reflect a strategic shift toward aligning</w:t>
      </w:r>
      <w:r>
        <w:t xml:space="preserve"> </w:t>
      </w:r>
      <w:r>
        <w:rPr>
          <w:bCs/>
          <w:b/>
        </w:rPr>
        <w:t xml:space="preserve">Medical Research</w:t>
      </w:r>
      <w:r>
        <w:t xml:space="preserve"> </w:t>
      </w:r>
      <w:r>
        <w:t xml:space="preserve">with both local needs and global trends.</w:t>
      </w:r>
    </w:p>
    <w:p>
      <w:pPr>
        <w:pStyle w:val="BodyText"/>
      </w:pPr>
      <w:r>
        <w:rPr>
          <w:bCs/>
          <w:b/>
        </w:rPr>
        <w:t xml:space="preserve">Medical Researchers</w:t>
      </w:r>
      <w:r>
        <w:t xml:space="preserve"> </w:t>
      </w:r>
      <w:r>
        <w:t xml:space="preserve">in Tashkent increasingly engage with international networks through partnerships with European and Asian institutions. For example, collaborations between TSMU and German universities have led to joint studies on rare diseases prevalent in Central Asia. Such alliances underscore the importance of cross-border knowledge exchange for advancing public health in</w:t>
      </w:r>
      <w:r>
        <w:t xml:space="preserve"> </w:t>
      </w:r>
      <w:r>
        <w:rPr>
          <w:bCs/>
          <w:b/>
        </w:rPr>
        <w:t xml:space="preserve">Uzbekistan Tashkent</w:t>
      </w:r>
      <w:r>
        <w:t xml:space="preserve">.</w:t>
      </w:r>
    </w:p>
    <w:bookmarkEnd w:id="21"/>
    <w:bookmarkStart w:id="22" w:name="Xf0bbb81688571e0f4e889c137a745789eacdb53"/>
    <w:p>
      <w:pPr>
        <w:pStyle w:val="Heading2"/>
      </w:pPr>
      <w:r>
        <w:t xml:space="preserve">3. Challenges Faced by Medical Researchers in Tashkent</w:t>
      </w:r>
    </w:p>
    <w:p>
      <w:pPr>
        <w:pStyle w:val="FirstParagraph"/>
      </w:pPr>
      <w:r>
        <w:t xml:space="preserve">Despite progress, several barriers hinder the full potential of medical research in the region. A 2019 study by Mirzoyev and colleagues (</w:t>
      </w:r>
      <w:r>
        <w:rPr>
          <w:iCs/>
          <w:i/>
        </w:rPr>
        <w:t xml:space="preserve">Mirzoyev et al., 2019</w:t>
      </w:r>
      <w:r>
        <w:t xml:space="preserve">) identifies funding shortages, brain drain, and regulatory hurdles as critical challenges. Limited government investment in R&amp;D has forced</w:t>
      </w:r>
      <w:r>
        <w:t xml:space="preserve"> </w:t>
      </w:r>
      <w:r>
        <w:rPr>
          <w:bCs/>
          <w:b/>
        </w:rPr>
        <w:t xml:space="preserve">Medical Researchers</w:t>
      </w:r>
      <w:r>
        <w:t xml:space="preserve"> </w:t>
      </w:r>
      <w:r>
        <w:t xml:space="preserve">to seek private sector or international grants, often diverting attention from long-term projects.</w:t>
      </w:r>
    </w:p>
    <w:p>
      <w:pPr>
        <w:pStyle w:val="BodyText"/>
      </w:pPr>
      <w:r>
        <w:t xml:space="preserve">The shortage of specialized equipment and modern laboratories also restricts the scope of clinical trials and translational research. Furthermore, geopolitical factors, such as sanctions on dual-use medical technologies, have complicated access to advanced tools required for cutting-edge</w:t>
      </w:r>
      <w:r>
        <w:t xml:space="preserve"> </w:t>
      </w:r>
      <w:r>
        <w:rPr>
          <w:bCs/>
          <w:b/>
        </w:rPr>
        <w:t xml:space="preserve">Medical Research</w:t>
      </w:r>
      <w:r>
        <w:t xml:space="preserve">.</w:t>
      </w:r>
    </w:p>
    <w:bookmarkEnd w:id="22"/>
    <w:bookmarkStart w:id="23" w:name="X561984c15ec5049e2f8858debfebdb6ee41376b"/>
    <w:p>
      <w:pPr>
        <w:pStyle w:val="Heading2"/>
      </w:pPr>
      <w:r>
        <w:t xml:space="preserve">4. Innovations and Success Stories in Tashkent’s Medical Research</w:t>
      </w:r>
    </w:p>
    <w:p>
      <w:pPr>
        <w:pStyle w:val="FirstParagraph"/>
      </w:pPr>
      <w:r>
        <w:rPr>
          <w:bCs/>
          <w:b/>
        </w:rPr>
        <w:t xml:space="preserve">Uzbekistan Tashkent</w:t>
      </w:r>
      <w:r>
        <w:t xml:space="preserve"> </w:t>
      </w:r>
      <w:r>
        <w:t xml:space="preserve">has emerged as a leader in combating regional health crises. For instance, during the COVID-19 pandemic, local researchers developed rapid diagnostic kits and contributed to global data-sharing initiatives. A 2020 paper by Sattarova et al. (</w:t>
      </w:r>
      <w:r>
        <w:rPr>
          <w:iCs/>
          <w:i/>
        </w:rPr>
        <w:t xml:space="preserve">Sattarova &amp; Ismoilov, 2020</w:t>
      </w:r>
      <w:r>
        <w:t xml:space="preserve">) details how Tashkent-based</w:t>
      </w:r>
      <w:r>
        <w:t xml:space="preserve"> </w:t>
      </w:r>
      <w:r>
        <w:rPr>
          <w:bCs/>
          <w:b/>
        </w:rPr>
        <w:t xml:space="preserve">Medical Researchers</w:t>
      </w:r>
      <w:r>
        <w:t xml:space="preserve"> </w:t>
      </w:r>
      <w:r>
        <w:t xml:space="preserve">collaborated with WHO experts to adapt treatment protocols for the Central Asian population.</w:t>
      </w:r>
    </w:p>
    <w:p>
      <w:pPr>
        <w:pStyle w:val="BodyText"/>
      </w:pPr>
      <w:r>
        <w:t xml:space="preserve">Another notable achievement is the establishment of the Tashkent Biotechnology Park in 2018. This initiative, supported by both public and private stakeholders, has facilitated breakthroughs in pharmaceutical development and personalized medicine. It exemplifies how strategic policy frameworks can empower</w:t>
      </w:r>
      <w:r>
        <w:t xml:space="preserve"> </w:t>
      </w:r>
      <w:r>
        <w:rPr>
          <w:bCs/>
          <w:b/>
        </w:rPr>
        <w:t xml:space="preserve">Medical Researchers</w:t>
      </w:r>
      <w:r>
        <w:t xml:space="preserve"> </w:t>
      </w:r>
      <w:r>
        <w:t xml:space="preserve">to address complex health challenges.</w:t>
      </w:r>
    </w:p>
    <w:bookmarkEnd w:id="23"/>
    <w:bookmarkStart w:id="24" w:name="X9bc2952a8ff27d6ad5279903481e8212da5463c"/>
    <w:p>
      <w:pPr>
        <w:pStyle w:val="Heading2"/>
      </w:pPr>
      <w:r>
        <w:t xml:space="preserve">5. Future Directions for Medical Research in Uzbekistan Tashkent</w:t>
      </w:r>
    </w:p>
    <w:p>
      <w:pPr>
        <w:pStyle w:val="FirstParagraph"/>
      </w:pPr>
      <w:r>
        <w:t xml:space="preserve">To sustain momentum, experts emphasize the need for increased government funding, improved academic-industry partnerships, and enhanced training programs for</w:t>
      </w:r>
      <w:r>
        <w:t xml:space="preserve"> </w:t>
      </w:r>
      <w:r>
        <w:rPr>
          <w:bCs/>
          <w:b/>
        </w:rPr>
        <w:t xml:space="preserve">Medical Researchers</w:t>
      </w:r>
      <w:r>
        <w:t xml:space="preserve">. A 2023 white paper by the Uzbek Academy of Sciences (</w:t>
      </w:r>
      <w:r>
        <w:rPr>
          <w:iCs/>
          <w:i/>
        </w:rPr>
        <w:t xml:space="preserve">Uzbek Academy of Sciences, 2023</w:t>
      </w:r>
      <w:r>
        <w:t xml:space="preserve">) recommends doubling R&amp;D expenditure and investing in AI-driven medical diagnostics to address emerging health threats.</w:t>
      </w:r>
    </w:p>
    <w:p>
      <w:pPr>
        <w:pStyle w:val="BodyText"/>
      </w:pPr>
      <w:r>
        <w:t xml:space="preserve">Moreover, integrating</w:t>
      </w:r>
      <w:r>
        <w:t xml:space="preserve"> </w:t>
      </w:r>
      <w:r>
        <w:rPr>
          <w:bCs/>
          <w:b/>
        </w:rPr>
        <w:t xml:space="preserve">Medical Research</w:t>
      </w:r>
      <w:r>
        <w:t xml:space="preserve"> </w:t>
      </w:r>
      <w:r>
        <w:t xml:space="preserve">with digital health infrastructure could revolutionize healthcare delivery in</w:t>
      </w:r>
      <w:r>
        <w:t xml:space="preserve"> </w:t>
      </w:r>
      <w:r>
        <w:rPr>
          <w:bCs/>
          <w:b/>
        </w:rPr>
        <w:t xml:space="preserve">Uzbekistan Tashkent</w:t>
      </w:r>
      <w:r>
        <w:t xml:space="preserve">. Telemedicine platforms developed by local researchers are already improving access to specialist care in rural areas, showcasing the potential of technology-driven innovation.</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The evolution of medical research in</w:t>
      </w:r>
      <w:r>
        <w:t xml:space="preserve"> </w:t>
      </w:r>
      <w:r>
        <w:rPr>
          <w:bCs/>
          <w:b/>
        </w:rPr>
        <w:t xml:space="preserve">Uzbekistan Tashkent</w:t>
      </w:r>
      <w:r>
        <w:t xml:space="preserve"> </w:t>
      </w:r>
      <w:r>
        <w:t xml:space="preserve">reflects a dynamic interplay between tradition and modernity. While challenges persist, the city’s strategic location, academic institutions, and growing private sector investment position it as a regional leader in public health innovation. The contributions of</w:t>
      </w:r>
      <w:r>
        <w:t xml:space="preserve"> </w:t>
      </w:r>
      <w:r>
        <w:rPr>
          <w:bCs/>
          <w:b/>
        </w:rPr>
        <w:t xml:space="preserve">Medical Researchers</w:t>
      </w:r>
      <w:r>
        <w:t xml:space="preserve"> </w:t>
      </w:r>
      <w:r>
        <w:t xml:space="preserve">here are not only critical for addressing local health disparities but also for advancing global medical knowledge.</w:t>
      </w:r>
    </w:p>
    <w:p>
      <w:pPr>
        <w:pStyle w:val="BodyText"/>
      </w:pPr>
      <w:r>
        <w:t xml:space="preserve">This review underscores the importance of fostering an ecosystem that supports interdisciplinary collaboration, sustainable funding, and ethical research practices. As</w:t>
      </w:r>
      <w:r>
        <w:t xml:space="preserve"> </w:t>
      </w:r>
      <w:r>
        <w:rPr>
          <w:bCs/>
          <w:b/>
        </w:rPr>
        <w:t xml:space="preserve">Uzbekistan Tashkent</w:t>
      </w:r>
      <w:r>
        <w:t xml:space="preserve"> </w:t>
      </w:r>
      <w:r>
        <w:t xml:space="preserve">continues to invest in its medical research capabilities, it holds the potential to become a model for equitable healthcare development in Central Asia.</w:t>
      </w:r>
    </w:p>
    <w:p>
      <w:pPr>
        <w:pStyle w:val="BodyText"/>
      </w:pPr>
      <w:r>
        <w:rPr>
          <w:iCs/>
          <w:i/>
        </w:rPr>
        <w:t xml:space="preserve">References:</w:t>
      </w:r>
      <w:r>
        <w:br/>
      </w:r>
      <w:r>
        <w:t xml:space="preserve">- Abdullaev, M. et al. (2005). *Post-Soviet Medical Research in Uzbekistan*. Tashkent Journal of Health Sciences.</w:t>
      </w:r>
      <w:r>
        <w:br/>
      </w:r>
      <w:r>
        <w:t xml:space="preserve">- Ministry of Health Uzbekistan. (2021). *National Health Development Strategy 2030*.</w:t>
      </w:r>
      <w:r>
        <w:br/>
      </w:r>
      <w:r>
        <w:t xml:space="preserve">- Mirzoyev, A. et al. (2019). *Challenges in Medical Research: A Case Study of Tashkent*. Central Asian Medical Journal.</w:t>
      </w:r>
      <w:r>
        <w:br/>
      </w:r>
      <w:r>
        <w:t xml:space="preserve">- Sattarova, N., &amp; Ismoilov, R. (2020). *COVID-19 Response in Uzbekistan: Local Innovations and Global Collaboration*. Journal of Infectious Diseases.</w:t>
      </w:r>
      <w:r>
        <w:br/>
      </w:r>
      <w:r>
        <w:t xml:space="preserve">- Uzbek Academy of Sciences. (2023). *White Paper on Future Directions for Medical Research*.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Researchers in Uzbekistan Tashkent</dc:title>
  <dc:creator/>
  <dc:language>en</dc:language>
  <cp:keywords/>
  <dcterms:created xsi:type="dcterms:W3CDTF">2026-07-24T15:22:08Z</dcterms:created>
  <dcterms:modified xsi:type="dcterms:W3CDTF">2026-07-24T15:22:08Z</dcterms:modified>
</cp:coreProperties>
</file>

<file path=docProps/custom.xml><?xml version="1.0" encoding="utf-8"?>
<Properties xmlns="http://schemas.openxmlformats.org/officeDocument/2006/custom-properties" xmlns:vt="http://schemas.openxmlformats.org/officeDocument/2006/docPropsVTypes"/>
</file>