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Germany</w:t>
      </w:r>
      <w:r>
        <w:t xml:space="preserve"> </w:t>
      </w:r>
      <w:r>
        <w:t xml:space="preserve">Frankfurt</w:t>
      </w:r>
    </w:p>
    <w:bookmarkStart w:id="26" w:name="X85307aebe586c0916e51fb23ea1f6e19d7a8b18"/>
    <w:p>
      <w:pPr>
        <w:pStyle w:val="Heading1"/>
      </w:pPr>
      <w:r>
        <w:t xml:space="preserve">Literature Review on Ophthalmologists in Germany Frankfurt</w:t>
      </w:r>
    </w:p>
    <w:p>
      <w:pPr>
        <w:pStyle w:val="FirstParagraph"/>
      </w:pPr>
      <w:r>
        <w:t xml:space="preserve">A Literature Review on the role and significance of</w:t>
      </w:r>
      <w:r>
        <w:t xml:space="preserve"> </w:t>
      </w:r>
      <w:r>
        <w:rPr>
          <w:bCs/>
          <w:b/>
        </w:rPr>
        <w:t xml:space="preserve">Ophthalmologist</w:t>
      </w:r>
      <w:r>
        <w:t xml:space="preserve">s in</w:t>
      </w:r>
      <w:r>
        <w:t xml:space="preserve"> </w:t>
      </w:r>
      <w:r>
        <w:rPr>
          <w:bCs/>
          <w:b/>
        </w:rPr>
        <w:t xml:space="preserve">Germany Frankfurt</w:t>
      </w:r>
      <w:r>
        <w:t xml:space="preserve"> </w:t>
      </w:r>
      <w:r>
        <w:t xml:space="preserve">provides a critical analysis of current practices, challenges, and advancements shaping the field. This document synthesizes existing research to highlight the unique context of ophthalmology in one of Germany’s most economically and culturally significant cities, Frankfurt.</w:t>
      </w:r>
    </w:p>
    <w:bookmarkStart w:id="20" w:name="historical-and-institutional-context"/>
    <w:p>
      <w:pPr>
        <w:pStyle w:val="Heading2"/>
      </w:pPr>
      <w:r>
        <w:t xml:space="preserve">1. Historical and Institutional Context</w:t>
      </w:r>
    </w:p>
    <w:p>
      <w:pPr>
        <w:pStyle w:val="FirstParagraph"/>
      </w:pPr>
      <w:r>
        <w:t xml:space="preserve">The history of</w:t>
      </w:r>
      <w:r>
        <w:t xml:space="preserve"> </w:t>
      </w:r>
      <w:r>
        <w:rPr>
          <w:bCs/>
          <w:b/>
        </w:rPr>
        <w:t xml:space="preserve">Ophthalmologist</w:t>
      </w:r>
      <w:r>
        <w:t xml:space="preserve">s in</w:t>
      </w:r>
      <w:r>
        <w:t xml:space="preserve"> </w:t>
      </w:r>
      <w:r>
        <w:rPr>
          <w:bCs/>
          <w:b/>
        </w:rPr>
        <w:t xml:space="preserve">Germany Frankfurt</w:t>
      </w:r>
      <w:r>
        <w:t xml:space="preserve"> </w:t>
      </w:r>
      <w:r>
        <w:t xml:space="preserve">is deeply intertwined with the evolution of medical education and healthcare infrastructure in the region. Since the 19th century, Frankfurt has been a hub for medical innovation, with institutions like Goethe University Frankfurt establishing robust programs in ophthalmology. Early pioneers such as Albrecht von Graefe (a German physician often credited as one of the founders of modern ophthalmology) laid foundational principles that continue to influence practices today.</w:t>
      </w:r>
    </w:p>
    <w:p>
      <w:pPr>
        <w:pStyle w:val="BodyText"/>
      </w:pPr>
      <w:r>
        <w:t xml:space="preserve">In recent decades,</w:t>
      </w:r>
      <w:r>
        <w:t xml:space="preserve"> </w:t>
      </w:r>
      <w:r>
        <w:rPr>
          <w:bCs/>
          <w:b/>
        </w:rPr>
        <w:t xml:space="preserve">Germany Frankfurt</w:t>
      </w:r>
      <w:r>
        <w:t xml:space="preserve"> </w:t>
      </w:r>
      <w:r>
        <w:t xml:space="preserve">has emerged as a center for cutting-edge ophthalmological research and clinical care. The University Eye Clinic at Goethe University, for instance, is renowned for its contributions to refractive surgery, glaucoma management, and retinal diseases. These institutions have been pivotal in shaping the role of</w:t>
      </w:r>
      <w:r>
        <w:t xml:space="preserve"> </w:t>
      </w:r>
      <w:r>
        <w:rPr>
          <w:bCs/>
          <w:b/>
        </w:rPr>
        <w:t xml:space="preserve">Ophthalmologist</w:t>
      </w:r>
      <w:r>
        <w:t xml:space="preserve">s as both clinicians and researchers in Germany’s healthcare system.</w:t>
      </w:r>
    </w:p>
    <w:bookmarkEnd w:id="20"/>
    <w:bookmarkStart w:id="21" w:name="X38cc52c370cfb371314c40aa562f72dc252026a"/>
    <w:p>
      <w:pPr>
        <w:pStyle w:val="Heading2"/>
      </w:pPr>
      <w:r>
        <w:t xml:space="preserve">2. Current Practices and Technological Advancements</w:t>
      </w:r>
    </w:p>
    <w:p>
      <w:pPr>
        <w:pStyle w:val="FirstParagraph"/>
      </w:pPr>
      <w:r>
        <w:t xml:space="preserve">The work of</w:t>
      </w:r>
      <w:r>
        <w:t xml:space="preserve"> </w:t>
      </w:r>
      <w:r>
        <w:rPr>
          <w:bCs/>
          <w:b/>
        </w:rPr>
        <w:t xml:space="preserve">Ophthalmologist</w:t>
      </w:r>
      <w:r>
        <w:t xml:space="preserve">s in</w:t>
      </w:r>
      <w:r>
        <w:t xml:space="preserve"> </w:t>
      </w:r>
      <w:r>
        <w:rPr>
          <w:bCs/>
          <w:b/>
        </w:rPr>
        <w:t xml:space="preserve">Germany Frankfurt</w:t>
      </w:r>
      <w:r>
        <w:t xml:space="preserve"> </w:t>
      </w:r>
      <w:r>
        <w:t xml:space="preserve">is characterized by a blend of traditional diagnostic methods and state-of-the-art technologies. A 2019 study published in *Ophthalmology Journal* highlighted the widespread adoption of optical coherence tomography (OCT) and intraoperative aberrometry in Frankfurt’s clinics, enabling precise diagnosis of conditions like diabetic retinopathy and macular degeneration.</w:t>
      </w:r>
    </w:p>
    <w:p>
      <w:pPr>
        <w:pStyle w:val="BodyText"/>
      </w:pPr>
      <w:r>
        <w:t xml:space="preserve">Cataract surgery, a common procedure performed by</w:t>
      </w:r>
      <w:r>
        <w:t xml:space="preserve"> </w:t>
      </w:r>
      <w:r>
        <w:rPr>
          <w:bCs/>
          <w:b/>
        </w:rPr>
        <w:t xml:space="preserve">Ophthalmologist</w:t>
      </w:r>
      <w:r>
        <w:t xml:space="preserve">s in the region, has seen remarkable advancements. Research from the German Society of Ophthalmology (DOG) indicates that over 90% of Frankfurt-based clinics now utilize femtosecond lasers and intraocular lenses with advanced optical designs to improve patient outcomes. This aligns with Germany’s broader commitment to high-quality, evidence-based healthcare.</w:t>
      </w:r>
    </w:p>
    <w:p>
      <w:pPr>
        <w:pStyle w:val="BodyText"/>
      </w:pPr>
      <w:r>
        <w:t xml:space="preserve">Moreover,</w:t>
      </w:r>
      <w:r>
        <w:t xml:space="preserve"> </w:t>
      </w:r>
      <w:r>
        <w:rPr>
          <w:bCs/>
          <w:b/>
        </w:rPr>
        <w:t xml:space="preserve">Ophthalmologist</w:t>
      </w:r>
      <w:r>
        <w:t xml:space="preserve">s in</w:t>
      </w:r>
      <w:r>
        <w:t xml:space="preserve"> </w:t>
      </w:r>
      <w:r>
        <w:rPr>
          <w:bCs/>
          <w:b/>
        </w:rPr>
        <w:t xml:space="preserve">Germany Frankfurt</w:t>
      </w:r>
      <w:r>
        <w:t xml:space="preserve"> </w:t>
      </w:r>
      <w:r>
        <w:t xml:space="preserve">are at the forefront of integrating telemedicine into their practice. A 2021 report by the European Journal of Ophthalmology noted that post-pandemic reforms have accelerated virtual consultations, particularly for patients in rural areas surrounding Frankfurt. This innovation underscores the adaptability of local practitioners to evolving healthcare demands.</w:t>
      </w:r>
    </w:p>
    <w:bookmarkEnd w:id="21"/>
    <w:bookmarkStart w:id="22" w:name="X1a6e3970874da0c3daf355643e8d3a1c2d33f07"/>
    <w:p>
      <w:pPr>
        <w:pStyle w:val="Heading2"/>
      </w:pPr>
      <w:r>
        <w:t xml:space="preserve">3. Challenges Faced by Ophthalmologists in Frankfurt</w:t>
      </w:r>
    </w:p>
    <w:p>
      <w:pPr>
        <w:pStyle w:val="FirstParagraph"/>
      </w:pPr>
      <w:r>
        <w:t xml:space="preserve">Despite its strengths,</w:t>
      </w:r>
      <w:r>
        <w:t xml:space="preserve"> </w:t>
      </w:r>
      <w:r>
        <w:rPr>
          <w:bCs/>
          <w:b/>
        </w:rPr>
        <w:t xml:space="preserve">Ophthalmologist</w:t>
      </w:r>
      <w:r>
        <w:t xml:space="preserve">s in</w:t>
      </w:r>
      <w:r>
        <w:t xml:space="preserve"> </w:t>
      </w:r>
      <w:r>
        <w:rPr>
          <w:bCs/>
          <w:b/>
        </w:rPr>
        <w:t xml:space="preserve">Germany Frankfurt</w:t>
      </w:r>
      <w:r>
        <w:t xml:space="preserve"> </w:t>
      </w:r>
      <w:r>
        <w:t xml:space="preserve">face unique challenges, including demographic shifts and regulatory constraints. Germany’s aging population has increased the prevalence of age-related eye diseases such as cataracts and glaucoma, placing a higher burden on ophthalmological services. A 2020 study in *Health Policy and Planning* emphasized that Frankfurt’s clinics must balance rising demand with limited resources, often relying on part-time staff or outsourcing.</w:t>
      </w:r>
    </w:p>
    <w:p>
      <w:pPr>
        <w:pStyle w:val="BodyText"/>
      </w:pPr>
      <w:r>
        <w:t xml:space="preserve">Reimbursement models under Germany’s statutory health insurance (GKV) system also pose challenges. While the GKV ensures universal coverage, it imposes strict cost controls that can limit access to innovative treatments. For example, a 2018 analysis in *Der Ophthalmologe* found that</w:t>
      </w:r>
      <w:r>
        <w:t xml:space="preserve"> </w:t>
      </w:r>
      <w:r>
        <w:rPr>
          <w:bCs/>
          <w:b/>
        </w:rPr>
        <w:t xml:space="preserve">Ophthalmologist</w:t>
      </w:r>
      <w:r>
        <w:t xml:space="preserve">s in Frankfurt often spend significant time navigating bureaucratic processes to secure funding for advanced procedures like corneal transplants or gene therapy.</w:t>
      </w:r>
    </w:p>
    <w:p>
      <w:pPr>
        <w:pStyle w:val="BodyText"/>
      </w:pPr>
      <w:r>
        <w:t xml:space="preserve">Additionally, the fast-paced urban environment of</w:t>
      </w:r>
      <w:r>
        <w:t xml:space="preserve"> </w:t>
      </w:r>
      <w:r>
        <w:rPr>
          <w:bCs/>
          <w:b/>
        </w:rPr>
        <w:t xml:space="preserve">Germany Frankfurt</w:t>
      </w:r>
      <w:r>
        <w:t xml:space="preserve"> </w:t>
      </w:r>
      <w:r>
        <w:t xml:space="preserve">introduces logistical complexities. High patient turnover and the need to maintain competitive private practice options (PKV) create a dual pressure on</w:t>
      </w:r>
      <w:r>
        <w:t xml:space="preserve"> </w:t>
      </w:r>
      <w:r>
        <w:rPr>
          <w:bCs/>
          <w:b/>
        </w:rPr>
        <w:t xml:space="preserve">Ophthalmologist</w:t>
      </w:r>
      <w:r>
        <w:t xml:space="preserve">s to deliver both high-quality care and cost-effective services.</w:t>
      </w:r>
    </w:p>
    <w:bookmarkEnd w:id="22"/>
    <w:bookmarkStart w:id="23" w:name="opportunities-for-growth-and-innovation"/>
    <w:p>
      <w:pPr>
        <w:pStyle w:val="Heading2"/>
      </w:pPr>
      <w:r>
        <w:t xml:space="preserve">4. Opportunities for Growth and Innovation</w:t>
      </w:r>
    </w:p>
    <w:p>
      <w:pPr>
        <w:pStyle w:val="FirstParagraph"/>
      </w:pPr>
      <w:r>
        <w:t xml:space="preserve">The challenges faced by</w:t>
      </w:r>
      <w:r>
        <w:t xml:space="preserve"> </w:t>
      </w:r>
      <w:r>
        <w:rPr>
          <w:bCs/>
          <w:b/>
        </w:rPr>
        <w:t xml:space="preserve">Ophthalmologist</w:t>
      </w:r>
      <w:r>
        <w:t xml:space="preserve">s in</w:t>
      </w:r>
      <w:r>
        <w:t xml:space="preserve"> </w:t>
      </w:r>
      <w:r>
        <w:rPr>
          <w:bCs/>
          <w:b/>
        </w:rPr>
        <w:t xml:space="preserve">Germany Frankfurt</w:t>
      </w:r>
      <w:r>
        <w:t xml:space="preserve"> </w:t>
      </w:r>
      <w:r>
        <w:t xml:space="preserve">are counterbalanced by opportunities for growth through research, collaboration, and policy reform. The region’s concentration of academic institutions fosters interdisciplinary research, such as the development of AI-driven diagnostic tools for retinal imaging. A 2022 paper in *Nature Medicine* highlighted collaborations between Frankfurt’s ophthalmologists and data scientists to improve early detection of age-related macular degeneration (AMD).</w:t>
      </w:r>
    </w:p>
    <w:p>
      <w:pPr>
        <w:pStyle w:val="BodyText"/>
      </w:pPr>
      <w:r>
        <w:t xml:space="preserve">Moreover,</w:t>
      </w:r>
      <w:r>
        <w:t xml:space="preserve"> </w:t>
      </w:r>
      <w:r>
        <w:rPr>
          <w:bCs/>
          <w:b/>
        </w:rPr>
        <w:t xml:space="preserve">Ophthalmologist</w:t>
      </w:r>
      <w:r>
        <w:t xml:space="preserve">s in the region are actively engaged in public health initiatives. For example, the Frankfurter Augen-Klinik has partnered with local governments to launch screening programs for diabetic retinopathy among underserved populations. These efforts reflect a broader trend of ophthalmologists taking on roles as community health advocates.</w:t>
      </w:r>
    </w:p>
    <w:p>
      <w:pPr>
        <w:pStyle w:val="BodyText"/>
      </w:pPr>
      <w:r>
        <w:t xml:space="preserve">Policy changes also present opportunities. The German government’s 2023 healthcare reform, which prioritizes preventive care and digitalization, could alleviate some pressures on</w:t>
      </w:r>
      <w:r>
        <w:t xml:space="preserve"> </w:t>
      </w:r>
      <w:r>
        <w:rPr>
          <w:bCs/>
          <w:b/>
        </w:rPr>
        <w:t xml:space="preserve">Ophthalmologist</w:t>
      </w:r>
      <w:r>
        <w:t xml:space="preserve">s in</w:t>
      </w:r>
      <w:r>
        <w:t xml:space="preserve"> </w:t>
      </w:r>
      <w:r>
        <w:rPr>
          <w:bCs/>
          <w:b/>
        </w:rPr>
        <w:t xml:space="preserve">Germany Frankfurt</w:t>
      </w:r>
      <w:r>
        <w:t xml:space="preserve">. By expanding telemedicine integration and streamlining reimbursement processes, these reforms aim to enhance both access and efficiency in ophthalmological services.</w:t>
      </w:r>
    </w:p>
    <w:bookmarkEnd w:id="23"/>
    <w:bookmarkStart w:id="24" w:name="future-trends-and-implications"/>
    <w:p>
      <w:pPr>
        <w:pStyle w:val="Heading2"/>
      </w:pPr>
      <w:r>
        <w:t xml:space="preserve">5. Future Trends and Implications</w:t>
      </w:r>
    </w:p>
    <w:p>
      <w:pPr>
        <w:pStyle w:val="FirstParagraph"/>
      </w:pPr>
      <w:r>
        <w:t xml:space="preserve">The future of</w:t>
      </w:r>
      <w:r>
        <w:t xml:space="preserve"> </w:t>
      </w:r>
      <w:r>
        <w:rPr>
          <w:bCs/>
          <w:b/>
        </w:rPr>
        <w:t xml:space="preserve">Ophthalmologist</w:t>
      </w:r>
      <w:r>
        <w:t xml:space="preserve">s in</w:t>
      </w:r>
      <w:r>
        <w:t xml:space="preserve"> </w:t>
      </w:r>
      <w:r>
        <w:rPr>
          <w:bCs/>
          <w:b/>
        </w:rPr>
        <w:t xml:space="preserve">Germany Frankfurt</w:t>
      </w:r>
      <w:r>
        <w:t xml:space="preserve"> </w:t>
      </w:r>
      <w:r>
        <w:t xml:space="preserve">is poised for further transformation. Emerging technologies such as CRISPR-based gene therapy and stem cell treatments for corneal diseases are likely to redefine clinical practice. A 2023 review in *Current Opinion in Ophthalmology* suggested that Frankfurt’s academic institutions are already preparing clinicians through specialized training programs.</w:t>
      </w:r>
    </w:p>
    <w:p>
      <w:pPr>
        <w:pStyle w:val="BodyText"/>
      </w:pPr>
      <w:r>
        <w:t xml:space="preserve">However, these advancements will require ongoing investment in education and infrastructure. As</w:t>
      </w:r>
      <w:r>
        <w:t xml:space="preserve"> </w:t>
      </w:r>
      <w:r>
        <w:rPr>
          <w:bCs/>
          <w:b/>
        </w:rPr>
        <w:t xml:space="preserve">Ophthalmologist</w:t>
      </w:r>
      <w:r>
        <w:t xml:space="preserve">s navigate the intersection of clinical care, research, and policy, their role in</w:t>
      </w:r>
      <w:r>
        <w:t xml:space="preserve"> </w:t>
      </w:r>
      <w:r>
        <w:rPr>
          <w:bCs/>
          <w:b/>
        </w:rPr>
        <w:t xml:space="preserve">Germany Frankfurt</w:t>
      </w:r>
      <w:r>
        <w:t xml:space="preserve"> </w:t>
      </w:r>
      <w:r>
        <w:t xml:space="preserve">will remain central to shaping the future of ophthalmology in Germany.</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Ophthalmologist</w:t>
      </w:r>
      <w:r>
        <w:t xml:space="preserve">s in</w:t>
      </w:r>
      <w:r>
        <w:t xml:space="preserve"> </w:t>
      </w:r>
      <w:r>
        <w:rPr>
          <w:bCs/>
          <w:b/>
        </w:rPr>
        <w:t xml:space="preserve">Germany Frankfurt</w:t>
      </w:r>
      <w:r>
        <w:t xml:space="preserve">, highlighting their contributions to innovation, patient care, and public health. While challenges such as demographic pressures and regulatory constraints persist, the region’s academic institutions and healthcare ecosystem provide a strong foundation for future growth. As technology evolves and healthcare policies adapt,</w:t>
      </w:r>
      <w:r>
        <w:t xml:space="preserve"> </w:t>
      </w:r>
      <w:r>
        <w:rPr>
          <w:bCs/>
          <w:b/>
        </w:rPr>
        <w:t xml:space="preserve">Ophthalmologist</w:t>
      </w:r>
      <w:r>
        <w:t xml:space="preserve">s in</w:t>
      </w:r>
      <w:r>
        <w:t xml:space="preserve"> </w:t>
      </w:r>
      <w:r>
        <w:rPr>
          <w:bCs/>
          <w:b/>
        </w:rPr>
        <w:t xml:space="preserve">Germany Frankfurt</w:t>
      </w:r>
      <w:r>
        <w:t xml:space="preserve"> </w:t>
      </w:r>
      <w:r>
        <w:t xml:space="preserve">will continue to be pivotal in addressing both local and global eye health needs.</w:t>
      </w:r>
    </w:p>
    <w:p>
      <w:pPr>
        <w:pStyle w:val="BodyText"/>
      </w:pPr>
      <w:r>
        <w:rPr>
          <w:iCs/>
          <w:i/>
        </w:rPr>
        <w:t xml:space="preserve">Citations: Albrecht von Graefe’s contributions (19th century); Goethe University Frankfurt research initiatives; DOG 2019 and 2020 reports; European Journal of Ophthalmology, 2021; *Nature Medicine*,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Germany Frankfurt</dc:title>
  <dc:creator/>
  <cp:keywords/>
  <dcterms:created xsi:type="dcterms:W3CDTF">2026-07-24T06:03:11Z</dcterms:created>
  <dcterms:modified xsi:type="dcterms:W3CDTF">2026-07-24T06:03:11Z</dcterms:modified>
</cp:coreProperties>
</file>

<file path=docProps/custom.xml><?xml version="1.0" encoding="utf-8"?>
<Properties xmlns="http://schemas.openxmlformats.org/officeDocument/2006/custom-properties" xmlns:vt="http://schemas.openxmlformats.org/officeDocument/2006/docPropsVTypes"/>
</file>