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36c64d92648f2ab355ffafd7b94e94a883af20"/>
    <w:p>
      <w:pPr>
        <w:pStyle w:val="Heading1"/>
      </w:pPr>
      <w:r>
        <w:t xml:space="preserve">Literature Review: Ophthalmologist Practices and Challenges in the United Kingdom London</w:t>
      </w:r>
    </w:p>
    <w:p>
      <w:pPr>
        <w:pStyle w:val="FirstParagraph"/>
      </w:pPr>
      <w:r>
        <w:t xml:space="preserve">A comprehensive</w:t>
      </w:r>
      <w:r>
        <w:t xml:space="preserve"> </w:t>
      </w:r>
      <w:r>
        <w:rPr>
          <w:bCs/>
          <w:b/>
        </w:rPr>
        <w:t xml:space="preserve">Literature Review</w:t>
      </w:r>
      <w:r>
        <w:t xml:space="preserve"> </w:t>
      </w:r>
      <w:r>
        <w:t xml:space="preserve">on ophthalmology in</w:t>
      </w:r>
      <w:r>
        <w:t xml:space="preserve"> </w:t>
      </w:r>
      <w:r>
        <w:rPr>
          <w:bCs/>
          <w:b/>
        </w:rPr>
        <w:t xml:space="preserve">United Kingdom London</w:t>
      </w:r>
      <w:r>
        <w:t xml:space="preserve"> </w:t>
      </w:r>
      <w:r>
        <w:t xml:space="preserve">is essential to understanding the evolving landscape of eye care, technological advancements, workforce dynamics, and public health initiatives within this region. This review synthesizes existing research on ophthalmologists operating in London, highlighting key themes such as clinical innovations, healthcare accessibility disparities, training programs tailored to a multicultural population, and the impact of national policies like those under the National Health Service (NHS). Given London’s status as a global hub for medical research and its diverse patient demographics, this document underscores the unique challenges and opportunities faced by ophthalmologists in this urban environment.</w:t>
      </w:r>
    </w:p>
    <w:bookmarkStart w:id="20" w:name="Xb8b6f21bb9b16b862d5095104dd68467147edd8"/>
    <w:p>
      <w:pPr>
        <w:pStyle w:val="Heading2"/>
      </w:pPr>
      <w:r>
        <w:t xml:space="preserve">The Role of Ophthalmologists in United Kingdom London</w:t>
      </w:r>
    </w:p>
    <w:p>
      <w:pPr>
        <w:pStyle w:val="FirstParagraph"/>
      </w:pPr>
      <w:r>
        <w:t xml:space="preserve">Ophthalmologists in</w:t>
      </w:r>
      <w:r>
        <w:t xml:space="preserve"> </w:t>
      </w:r>
      <w:r>
        <w:rPr>
          <w:bCs/>
          <w:b/>
        </w:rPr>
        <w:t xml:space="preserve">United Kingdom London</w:t>
      </w:r>
      <w:r>
        <w:t xml:space="preserve"> </w:t>
      </w:r>
      <w:r>
        <w:t xml:space="preserve">play a pivotal role in addressing both common and complex eye diseases. Research indicates that the city’s ophthalmology sector is characterized by high patient volumes, driven by its large population and international reputation for medical excellence. A 2021 study published in the</w:t>
      </w:r>
      <w:r>
        <w:t xml:space="preserve"> </w:t>
      </w:r>
      <w:r>
        <w:rPr>
          <w:iCs/>
          <w:i/>
        </w:rPr>
        <w:t xml:space="preserve">British Journal of Ophthalmology</w:t>
      </w:r>
      <w:r>
        <w:t xml:space="preserve"> </w:t>
      </w:r>
      <w:r>
        <w:t xml:space="preserve">highlighted that London hosts over 30 specialized eye hospitals and clinics, including Moorfields Eye Hospital NHS Foundation Trust, which is renowned globally for its research and clinical expertise. These institutions contribute significantly to advancing ophthalmological care through innovation in diagnostics and treatment.</w:t>
      </w:r>
    </w:p>
    <w:p>
      <w:pPr>
        <w:pStyle w:val="BodyText"/>
      </w:pPr>
      <w:r>
        <w:t xml:space="preserve">However, literature also underscores the strain on ophthalmologists due to rising demand. For instance, a report by the Royal College of Ophthalmologists (2023) noted that London’s ophthalmology departments face challenges in managing an aging population with increasing prevalence of age-related macular degeneration (AMD) and diabetic retinopathy. This aligns with broader NHS trends, where resource allocation and workforce shortages are critical concerns.</w:t>
      </w:r>
    </w:p>
    <w:bookmarkEnd w:id="20"/>
    <w:bookmarkStart w:id="21" w:name="Xd1ba2be5a28084f609fc1fcb2a99fb9d2e4b3fd"/>
    <w:p>
      <w:pPr>
        <w:pStyle w:val="Heading2"/>
      </w:pPr>
      <w:r>
        <w:t xml:space="preserve">Technological Advancements and Their Impact</w:t>
      </w:r>
    </w:p>
    <w:p>
      <w:pPr>
        <w:pStyle w:val="FirstParagraph"/>
      </w:pPr>
      <w:r>
        <w:t xml:space="preserve">The integration of technology into ophthalmology has been a transformative focus in</w:t>
      </w:r>
      <w:r>
        <w:t xml:space="preserve"> </w:t>
      </w:r>
      <w:r>
        <w:rPr>
          <w:bCs/>
          <w:b/>
        </w:rPr>
        <w:t xml:space="preserve">United Kingdom London</w:t>
      </w:r>
      <w:r>
        <w:t xml:space="preserve">. Recent studies emphasize the adoption of artificial intelligence (AI) tools for retinal imaging analysis, which have improved diagnostic accuracy and reduced waiting times. For example, Moorfields Eye Hospital has partnered with Google Health to develop AI systems capable of detecting over 50 eye conditions from retinal scans. Such innovations are particularly relevant in London’s diverse healthcare landscape, where early intervention can mitigate complications in patients with limited access to regular check-ups.</w:t>
      </w:r>
    </w:p>
    <w:p>
      <w:pPr>
        <w:pStyle w:val="BodyText"/>
      </w:pPr>
      <w:r>
        <w:t xml:space="preserve">However, literature also raises concerns about the ethical and practical implications of these technologies. A 2022 review by the London School of Hygiene &amp; Tropical Medicine highlighted that while AI enhances efficiency, it may exacerbate inequalities if not implemented uniformly across socioeconomically varied districts. Additionally, ophthalmologists must navigate training programs to adapt to these new tools, as emphasized in a 2023 article from</w:t>
      </w:r>
      <w:r>
        <w:t xml:space="preserve"> </w:t>
      </w:r>
      <w:r>
        <w:rPr>
          <w:iCs/>
          <w:i/>
        </w:rPr>
        <w:t xml:space="preserve">Eye</w:t>
      </w:r>
      <w:r>
        <w:t xml:space="preserve"> </w:t>
      </w:r>
      <w:r>
        <w:t xml:space="preserve">journal.</w:t>
      </w:r>
    </w:p>
    <w:bookmarkEnd w:id="21"/>
    <w:bookmarkStart w:id="22" w:name="workforce-dynamics-and-training-programs"/>
    <w:p>
      <w:pPr>
        <w:pStyle w:val="Heading2"/>
      </w:pPr>
      <w:r>
        <w:t xml:space="preserve">Workforce Dynamics and Training Programs</w:t>
      </w:r>
    </w:p>
    <w:p>
      <w:pPr>
        <w:pStyle w:val="FirstParagraph"/>
      </w:pPr>
      <w:r>
        <w:t xml:space="preserve">Literature on ophthalmology in</w:t>
      </w:r>
      <w:r>
        <w:t xml:space="preserve"> </w:t>
      </w:r>
      <w:r>
        <w:rPr>
          <w:bCs/>
          <w:b/>
        </w:rPr>
        <w:t xml:space="preserve">United Kingdom London</w:t>
      </w:r>
      <w:r>
        <w:t xml:space="preserve"> </w:t>
      </w:r>
      <w:r>
        <w:t xml:space="preserve">frequently addresses workforce challenges. A 2019 report by the NHS England highlighted a shortage of specialist ophthalmologists, exacerbated by the high demand for procedures such as cataract surgery and glaucoma management. This is compounded by the need to train professionals who can address London’s unique demographic needs, including a growing population of patients from ethnic minority backgrounds, which are at higher risk for conditions like primary open-angle glaucoma.</w:t>
      </w:r>
    </w:p>
    <w:p>
      <w:pPr>
        <w:pStyle w:val="BodyText"/>
      </w:pPr>
      <w:r>
        <w:t xml:space="preserve">To address these challenges, institutions such as University College London (UCL) and King’s College London have developed specialized training programs that incorporate multicultural competencies. A 2023 study in the</w:t>
      </w:r>
      <w:r>
        <w:t xml:space="preserve"> </w:t>
      </w:r>
      <w:r>
        <w:rPr>
          <w:iCs/>
          <w:i/>
        </w:rPr>
        <w:t xml:space="preserve">Journal of Ophthalmology</w:t>
      </w:r>
      <w:r>
        <w:t xml:space="preserve"> </w:t>
      </w:r>
      <w:r>
        <w:t xml:space="preserve">noted that these programs emphasize cultural sensitivity and communication strategies tailored to London’s diverse patient base. However, literature also points to a gap in mentorship opportunities for junior ophthalmologists, which could hinder the long-term sustainability of the workforce.</w:t>
      </w:r>
    </w:p>
    <w:bookmarkEnd w:id="22"/>
    <w:bookmarkStart w:id="23" w:name="X0bd10235c34b6ea635eb6663d002d156c29d9da"/>
    <w:p>
      <w:pPr>
        <w:pStyle w:val="Heading2"/>
      </w:pPr>
      <w:r>
        <w:t xml:space="preserve">Public Health Initiatives and Disparities</w:t>
      </w:r>
    </w:p>
    <w:p>
      <w:pPr>
        <w:pStyle w:val="FirstParagraph"/>
      </w:pPr>
      <w:r>
        <w:t xml:space="preserve">Literature on</w:t>
      </w:r>
      <w:r>
        <w:t xml:space="preserve"> </w:t>
      </w:r>
      <w:r>
        <w:rPr>
          <w:bCs/>
          <w:b/>
        </w:rPr>
        <w:t xml:space="preserve">Ophthalmologist</w:t>
      </w:r>
      <w:r>
        <w:t xml:space="preserve"> </w:t>
      </w:r>
      <w:r>
        <w:t xml:space="preserve">practices in</w:t>
      </w:r>
      <w:r>
        <w:t xml:space="preserve"> </w:t>
      </w:r>
      <w:r>
        <w:rPr>
          <w:bCs/>
          <w:b/>
        </w:rPr>
        <w:t xml:space="preserve">United Kingdom London</w:t>
      </w:r>
      <w:r>
        <w:t xml:space="preserve"> </w:t>
      </w:r>
      <w:r>
        <w:t xml:space="preserve">often intersects with public health policy. For example, the NHS’s “Healthy Vision” initiative, launched in 2021, aimed to reduce preventable blindness through community-based screening programs for diabetic retinopathy and AMD. Research by Public Health England (2023) found that these initiatives have been more effective in affluent areas of London compared to deprived regions, highlighting persistent healthcare disparities.</w:t>
      </w:r>
    </w:p>
    <w:p>
      <w:pPr>
        <w:pStyle w:val="BodyText"/>
      </w:pPr>
      <w:r>
        <w:t xml:space="preserve">These disparities are further explored in a 2024 paper published by the</w:t>
      </w:r>
      <w:r>
        <w:t xml:space="preserve"> </w:t>
      </w:r>
      <w:r>
        <w:rPr>
          <w:iCs/>
          <w:i/>
        </w:rPr>
        <w:t xml:space="preserve">Lancet Global Health</w:t>
      </w:r>
      <w:r>
        <w:t xml:space="preserve">, which linked socioeconomic status to access to advanced ophthalmological treatments. The study recommended targeted interventions, such as mobile clinics and subsidized care for low-income patients, which have been piloted in boroughs like Tower Hamlets and Lambeth. However, literature notes that funding constraints often limit the scalability of such programs.</w:t>
      </w:r>
    </w:p>
    <w:bookmarkEnd w:id="23"/>
    <w:bookmarkStart w:id="24" w:name="clinical-research-and-innovation"/>
    <w:p>
      <w:pPr>
        <w:pStyle w:val="Heading2"/>
      </w:pPr>
      <w:r>
        <w:t xml:space="preserve">Clinical Research and Innovation</w:t>
      </w:r>
    </w:p>
    <w:p>
      <w:pPr>
        <w:pStyle w:val="FirstParagraph"/>
      </w:pPr>
      <w:r>
        <w:t xml:space="preserve">London’s ophthalmology sector is a global leader in clinical research. The Moorfields Eye Hospital, for instance, has been instrumental in pioneering gene therapy for inherited retinal diseases. A 2023 review in</w:t>
      </w:r>
      <w:r>
        <w:t xml:space="preserve"> </w:t>
      </w:r>
      <w:r>
        <w:rPr>
          <w:iCs/>
          <w:i/>
        </w:rPr>
        <w:t xml:space="preserve">Current Opinion in Ophthalmology</w:t>
      </w:r>
      <w:r>
        <w:t xml:space="preserve"> </w:t>
      </w:r>
      <w:r>
        <w:t xml:space="preserve">emphasized London’s role as a testing ground for experimental treatments, including stem cell therapies and CRISPR-based interventions. These advancements position the city as a key player in the global fight against blindness.</w:t>
      </w:r>
    </w:p>
    <w:p>
      <w:pPr>
        <w:pStyle w:val="BodyText"/>
      </w:pPr>
      <w:r>
        <w:t xml:space="preserve">Despite this, literature also identifies challenges such as regulatory hurdles and ethical considerations in conducting clinical trials with diverse populations. A 2022 article from</w:t>
      </w:r>
      <w:r>
        <w:t xml:space="preserve"> </w:t>
      </w:r>
      <w:r>
        <w:rPr>
          <w:iCs/>
          <w:i/>
        </w:rPr>
        <w:t xml:space="preserve">Eye Research</w:t>
      </w:r>
      <w:r>
        <w:t xml:space="preserve"> </w:t>
      </w:r>
      <w:r>
        <w:t xml:space="preserve">called for greater collaboration between academic institutions, policymakers, and patient advocacy groups to ensure equitable access to cutting-edge treatments.</w:t>
      </w:r>
    </w:p>
    <w:bookmarkEnd w:id="24"/>
    <w:bookmarkStart w:id="25"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Ophthalmologist</w:t>
      </w:r>
      <w:r>
        <w:t xml:space="preserve">s in</w:t>
      </w:r>
      <w:r>
        <w:t xml:space="preserve"> </w:t>
      </w:r>
      <w:r>
        <w:rPr>
          <w:bCs/>
          <w:b/>
        </w:rPr>
        <w:t xml:space="preserve">United Kingdom London</w:t>
      </w:r>
      <w:r>
        <w:t xml:space="preserve">, underscoring their contributions to clinical innovation, public health initiatives, and workforce development. While London’s ophthalmology sector benefits from world-class institutions and technological advancements, it faces significant challenges such as healthcare disparities, workforce shortages, and the need for culturally sensitive training programs. Future research should focus on addressing these gaps through policy reforms, increased funding for underserved communities, and interdisciplinary collaboration between ophthalmologists and other healthcare professionals.</w:t>
      </w:r>
    </w:p>
    <w:p>
      <w:pPr>
        <w:pStyle w:val="BodyText"/>
      </w:pPr>
      <w:r>
        <w:t xml:space="preserve">By continuing to prioritize ophthalmological care in</w:t>
      </w:r>
      <w:r>
        <w:t xml:space="preserve"> </w:t>
      </w:r>
      <w:r>
        <w:rPr>
          <w:bCs/>
          <w:b/>
        </w:rPr>
        <w:t xml:space="preserve">United Kingdom London</w:t>
      </w:r>
      <w:r>
        <w:t xml:space="preserve">, the region can set a global benchmark for equitable and innovative eye health solutions. This review serves as a call to action for stakeholders, including NHS administrators, academic institutions, and policymakers, to invest in sustainable strategies that align with the unique needs of London’s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2026-07-24T20:37:04Z</dcterms:created>
  <dcterms:modified xsi:type="dcterms:W3CDTF">2026-07-24T20:37:04Z</dcterms:modified>
</cp:coreProperties>
</file>

<file path=docProps/custom.xml><?xml version="1.0" encoding="utf-8"?>
<Properties xmlns="http://schemas.openxmlformats.org/officeDocument/2006/custom-properties" xmlns:vt="http://schemas.openxmlformats.org/officeDocument/2006/docPropsVTypes"/>
</file>