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0b68b8d7dba0f3c205696cb596c132379ebc262"/>
    <w:p>
      <w:pPr>
        <w:pStyle w:val="Heading1"/>
      </w:pPr>
      <w:r>
        <w:t xml:space="preserve">Literature Review: The Role of Pharmacists in Malaysia Kuala Lumpur</w:t>
      </w:r>
    </w:p>
    <w:p>
      <w:pPr>
        <w:pStyle w:val="FirstParagraph"/>
      </w:pPr>
      <w:r>
        <w:rPr>
          <w:bCs/>
          <w:b/>
        </w:rPr>
        <w:t xml:space="preserve">Literature Review</w:t>
      </w:r>
      <w:r>
        <w:t xml:space="preserve"> </w:t>
      </w:r>
      <w:r>
        <w:t xml:space="preserve">is a critical component of academic and professional research, providing an overview of existing knowledge on a specific topic. This document focuses on the role, challenges, and contributions of</w:t>
      </w:r>
      <w:r>
        <w:t xml:space="preserve"> </w:t>
      </w:r>
      <w:r>
        <w:rPr>
          <w:bCs/>
          <w:b/>
        </w:rPr>
        <w:t xml:space="preserve">Pharmacists</w:t>
      </w:r>
      <w:r>
        <w:t xml:space="preserve"> </w:t>
      </w:r>
      <w:r>
        <w:t xml:space="preserve">in</w:t>
      </w:r>
      <w:r>
        <w:t xml:space="preserve"> </w:t>
      </w:r>
      <w:r>
        <w:rPr>
          <w:bCs/>
          <w:b/>
        </w:rPr>
        <w:t xml:space="preserve">Kuala Lumpur, Malaysia</w:t>
      </w:r>
      <w:r>
        <w:t xml:space="preserve">, emphasizing their significance in the region’s healthcare system. The analysis draws from peer-reviewed studies, policy documents, and reports to highlight the evolving responsibilities of pharmacists in this context.</w:t>
      </w:r>
    </w:p>
    <w:bookmarkStart w:id="20" w:name="X14f625ff81ec0358bfa4b0c74b0bc6c021eb6a8"/>
    <w:p>
      <w:pPr>
        <w:pStyle w:val="Heading2"/>
      </w:pPr>
      <w:r>
        <w:t xml:space="preserve">Historical Context of Pharmacy Practice in Malaysia</w:t>
      </w:r>
    </w:p>
    <w:p>
      <w:pPr>
        <w:pStyle w:val="FirstParagraph"/>
      </w:pPr>
      <w:r>
        <w:t xml:space="preserve">The practice of pharmacy in Malaysia has evolved alongside the nation’s healthcare infrastructure. Historically, pharmacists were primarily responsible for compounding medications and dispensing prescriptions under the supervision of physicians. However, with advancements in medical science and public health policies, the role of</w:t>
      </w:r>
      <w:r>
        <w:t xml:space="preserve"> </w:t>
      </w:r>
      <w:r>
        <w:rPr>
          <w:bCs/>
          <w:b/>
        </w:rPr>
        <w:t xml:space="preserve">Pharmacists</w:t>
      </w:r>
      <w:r>
        <w:t xml:space="preserve"> </w:t>
      </w:r>
      <w:r>
        <w:t xml:space="preserve">has expanded significantly, particularly in urban centers like</w:t>
      </w:r>
      <w:r>
        <w:t xml:space="preserve"> </w:t>
      </w:r>
      <w:r>
        <w:rPr>
          <w:bCs/>
          <w:b/>
        </w:rPr>
        <w:t xml:space="preserve">Kuala Lumpur</w:t>
      </w:r>
      <w:r>
        <w:t xml:space="preserve">. The Malaysian government’s emphasis on primary healthcare services has positioned pharmacists as key stakeholders in disease prevention, medication management, and patient education.</w:t>
      </w:r>
    </w:p>
    <w:p>
      <w:pPr>
        <w:pStyle w:val="BodyText"/>
      </w:pPr>
      <w:r>
        <w:t xml:space="preserve">In Kuala Lumpur, the Ministry of Health Malaysia (MOH) introduced the National Pharmaceutical Policy in 2019 to enhance pharmacy services nationwide. This policy underscores the need for pharmacists to engage in clinical roles, such as medication therapy management (MTM) and chronic disease monitoring. Studies by Tan et al. (2021) highlight that pharmacists in urban areas like KL have increasingly been entrusted with responsibilities previously reserved for physicians, including diagnosing minor ailments and providing vaccinations.</w:t>
      </w:r>
    </w:p>
    <w:bookmarkEnd w:id="20"/>
    <w:bookmarkStart w:id="21" w:name="X674d285c3de927694a48392dfcdb95416a54cd3"/>
    <w:p>
      <w:pPr>
        <w:pStyle w:val="Heading2"/>
      </w:pPr>
      <w:r>
        <w:t xml:space="preserve">Educational and Professional Requirements for Pharmacists in Malaysia</w:t>
      </w:r>
    </w:p>
    <w:p>
      <w:pPr>
        <w:pStyle w:val="FirstParagraph"/>
      </w:pPr>
      <w:r>
        <w:t xml:space="preserve">To practice as a pharmacist in Malaysia, individuals must obtain a Bachelor of Pharmacy (BPharm) degree from an institution accredited by the Malaysian Qualifications Agency (MQA). Additionally, pharmacists are required to register with the Malaysian Pharmaceutical Society (MPS) and complete continuing professional development (CPD) programs. In</w:t>
      </w:r>
      <w:r>
        <w:t xml:space="preserve"> </w:t>
      </w:r>
      <w:r>
        <w:rPr>
          <w:bCs/>
          <w:b/>
        </w:rPr>
        <w:t xml:space="preserve">Kuala Lumpur</w:t>
      </w:r>
      <w:r>
        <w:t xml:space="preserve">, where healthcare demands are high, pharmacists often pursue advanced training in clinical pharmacy or specialized areas like oncology or infectious diseases.</w:t>
      </w:r>
    </w:p>
    <w:p>
      <w:pPr>
        <w:pStyle w:val="BodyText"/>
      </w:pPr>
      <w:r>
        <w:t xml:space="preserve">A review by Lim and Wong (2020) found that pharmacists in Kuala Lumpur face unique challenges due to the city’s densely populated urban environment. The demand for rapid medication access, coupled with a high prevalence of chronic conditions such as diabetes and hypertension, has necessitated pharmacists to adopt more proactive roles in patient care. This trend aligns with global shifts toward pharmacist-led initiatives in public health.</w:t>
      </w:r>
    </w:p>
    <w:bookmarkEnd w:id="21"/>
    <w:bookmarkStart w:id="22" w:name="X1db60f7984eec980361a98f3ed977327eb846b8"/>
    <w:p>
      <w:pPr>
        <w:pStyle w:val="Heading2"/>
      </w:pPr>
      <w:r>
        <w:t xml:space="preserve">Key Responsibilities of Pharmacists in Kuala Lumpur</w:t>
      </w:r>
    </w:p>
    <w:p>
      <w:pPr>
        <w:pStyle w:val="FirstParagraph"/>
      </w:pPr>
      <w:r>
        <w:t xml:space="preserve">In</w:t>
      </w:r>
      <w:r>
        <w:t xml:space="preserve"> </w:t>
      </w:r>
      <w:r>
        <w:rPr>
          <w:bCs/>
          <w:b/>
        </w:rPr>
        <w:t xml:space="preserve">Kuala Lumpur</w:t>
      </w:r>
      <w:r>
        <w:t xml:space="preserve">,</w:t>
      </w:r>
      <w:r>
        <w:t xml:space="preserve"> </w:t>
      </w:r>
      <w:r>
        <w:rPr>
          <w:bCs/>
          <w:b/>
        </w:rPr>
        <w:t xml:space="preserve">Pharmacists</w:t>
      </w:r>
      <w:r>
        <w:t xml:space="preserve"> </w:t>
      </w:r>
      <w:r>
        <w:t xml:space="preserve">perform a diverse range of duties that extend beyond dispensing medications. Key responsibilities include:</w:t>
      </w:r>
    </w:p>
    <w:p>
      <w:pPr>
        <w:numPr>
          <w:ilvl w:val="0"/>
          <w:numId w:val="1001"/>
        </w:numPr>
        <w:pStyle w:val="Compact"/>
      </w:pPr>
      <w:r>
        <w:rPr>
          <w:bCs/>
          <w:b/>
        </w:rPr>
        <w:t xml:space="preserve">Clinical Services:</w:t>
      </w:r>
      <w:r>
        <w:t xml:space="preserve"> </w:t>
      </w:r>
      <w:r>
        <w:t xml:space="preserve">Conducting medication reviews, monitoring drug interactions, and providing patient counseling on adherence to treatment regimens.</w:t>
      </w:r>
    </w:p>
    <w:p>
      <w:pPr>
        <w:numPr>
          <w:ilvl w:val="0"/>
          <w:numId w:val="1001"/>
        </w:numPr>
        <w:pStyle w:val="Compact"/>
      </w:pPr>
      <w:r>
        <w:rPr>
          <w:bCs/>
          <w:b/>
        </w:rPr>
        <w:t xml:space="preserve">Patient Education:</w:t>
      </w:r>
      <w:r>
        <w:t xml:space="preserve"> </w:t>
      </w:r>
      <w:r>
        <w:t xml:space="preserve">Educating the public on safe medication use, especially among elderly populations and patients with multiple chronic conditions.</w:t>
      </w:r>
    </w:p>
    <w:p>
      <w:pPr>
        <w:numPr>
          <w:ilvl w:val="0"/>
          <w:numId w:val="1001"/>
        </w:numPr>
        <w:pStyle w:val="Compact"/>
      </w:pPr>
      <w:r>
        <w:rPr>
          <w:bCs/>
          <w:b/>
        </w:rPr>
        <w:t xml:space="preserve">Disease Management:</w:t>
      </w:r>
      <w:r>
        <w:t xml:space="preserve"> </w:t>
      </w:r>
      <w:r>
        <w:t xml:space="preserve">Participating in diabetes management programs, anticoagulation clinics, and smoking cessation initiatives under MOH guidelines.</w:t>
      </w:r>
    </w:p>
    <w:p>
      <w:pPr>
        <w:numPr>
          <w:ilvl w:val="0"/>
          <w:numId w:val="1001"/>
        </w:numPr>
        <w:pStyle w:val="Compact"/>
      </w:pPr>
      <w:r>
        <w:rPr>
          <w:bCs/>
          <w:b/>
        </w:rPr>
        <w:t xml:space="preserve">Pandemic Response:</w:t>
      </w:r>
      <w:r>
        <w:t xml:space="preserve"> </w:t>
      </w:r>
      <w:r>
        <w:t xml:space="preserve">Playing a critical role during the COVID-19 pandemic by ensuring the availability of essential medicines and promoting vaccination campaigns.</w:t>
      </w:r>
    </w:p>
    <w:p>
      <w:pPr>
        <w:pStyle w:val="FirstParagraph"/>
      </w:pPr>
      <w:r>
        <w:t xml:space="preserve">A study published in the</w:t>
      </w:r>
      <w:r>
        <w:t xml:space="preserve"> </w:t>
      </w:r>
      <w:r>
        <w:rPr>
          <w:iCs/>
          <w:i/>
        </w:rPr>
        <w:t xml:space="preserve">Malaysian Journal of Pharmaceutical Sciences</w:t>
      </w:r>
      <w:r>
        <w:t xml:space="preserve"> </w:t>
      </w:r>
      <w:r>
        <w:t xml:space="preserve">(2022) noted that pharmacists in Kuala Lumpur have been instrumental in reducing medication errors through electronic prescribing systems and clinical decision support tools. This aligns with the Ministry of Health’s goal to modernize healthcare delivery using digital technologies.</w:t>
      </w:r>
    </w:p>
    <w:bookmarkEnd w:id="22"/>
    <w:bookmarkStart w:id="23" w:name="Xc33d0af46668a130f685dd81253dac8ce4eae2b"/>
    <w:p>
      <w:pPr>
        <w:pStyle w:val="Heading2"/>
      </w:pPr>
      <w:r>
        <w:t xml:space="preserve">Challenges Faced by Pharmacists in Kuala Lumpur</w:t>
      </w:r>
    </w:p>
    <w:p>
      <w:pPr>
        <w:pStyle w:val="FirstParagraph"/>
      </w:pPr>
      <w:r>
        <w:t xml:space="preserve">Despite their expanding roles, pharmacists in</w:t>
      </w:r>
      <w:r>
        <w:t xml:space="preserve"> </w:t>
      </w:r>
      <w:r>
        <w:rPr>
          <w:bCs/>
          <w:b/>
        </w:rPr>
        <w:t xml:space="preserve">Kuala Lumpur</w:t>
      </w:r>
      <w:r>
        <w:t xml:space="preserve"> </w:t>
      </w:r>
      <w:r>
        <w:t xml:space="preserve">encounter several challenges. These include:</w:t>
      </w:r>
    </w:p>
    <w:p>
      <w:pPr>
        <w:numPr>
          <w:ilvl w:val="0"/>
          <w:numId w:val="1002"/>
        </w:numPr>
        <w:pStyle w:val="Compact"/>
      </w:pPr>
      <w:r>
        <w:rPr>
          <w:bCs/>
          <w:b/>
        </w:rPr>
        <w:t xml:space="preserve">Hospital-Community Disparities:</w:t>
      </w:r>
      <w:r>
        <w:t xml:space="preserve"> </w:t>
      </w:r>
      <w:r>
        <w:t xml:space="preserve">Limited integration between hospital-based and community pharmacists, leading to fragmented patient care.</w:t>
      </w:r>
    </w:p>
    <w:p>
      <w:pPr>
        <w:numPr>
          <w:ilvl w:val="0"/>
          <w:numId w:val="1002"/>
        </w:numPr>
        <w:pStyle w:val="Compact"/>
      </w:pPr>
      <w:r>
        <w:rPr>
          <w:bCs/>
          <w:b/>
        </w:rPr>
        <w:t xml:space="preserve">Skill Gap:</w:t>
      </w:r>
      <w:r>
        <w:t xml:space="preserve"> </w:t>
      </w:r>
      <w:r>
        <w:t xml:space="preserve">Some pharmacists lack training in advanced clinical skills required for MTM or telehealth consultations.</w:t>
      </w:r>
    </w:p>
    <w:p>
      <w:pPr>
        <w:numPr>
          <w:ilvl w:val="0"/>
          <w:numId w:val="1002"/>
        </w:numPr>
        <w:pStyle w:val="Compact"/>
      </w:pPr>
      <w:r>
        <w:rPr>
          <w:bCs/>
          <w:b/>
        </w:rPr>
        <w:t xml:space="preserve">Burnout:</w:t>
      </w:r>
      <w:r>
        <w:t xml:space="preserve"> </w:t>
      </w:r>
      <w:r>
        <w:t xml:space="preserve">High workloads due to the city’s fast-paced healthcare environment and long working hours.</w:t>
      </w:r>
    </w:p>
    <w:p>
      <w:pPr>
        <w:pStyle w:val="FirstParagraph"/>
      </w:pPr>
      <w:r>
        <w:t xml:space="preserve">A survey conducted by the Malaysian Pharmaceutical Society (2023) revealed that 68% of pharmacists in Kuala Lumpur reported stress related to administrative tasks and regulatory compliance. This highlights the need for policy reforms to support pharmacists’ professional well-being while enhancing their clinical contributions.</w:t>
      </w:r>
    </w:p>
    <w:bookmarkEnd w:id="23"/>
    <w:bookmarkStart w:id="24" w:name="X38a96a316018b61243a0bc530a2c685c4d166d6"/>
    <w:p>
      <w:pPr>
        <w:pStyle w:val="Heading2"/>
      </w:pPr>
      <w:r>
        <w:t xml:space="preserve">The Impact of Technology on Pharmacy Practice in Kuala Lumpur</w:t>
      </w:r>
    </w:p>
    <w:p>
      <w:pPr>
        <w:pStyle w:val="FirstParagraph"/>
      </w:pPr>
      <w:r>
        <w:t xml:space="preserve">The rapid adoption of digital technologies has transformed pharmacy practice in</w:t>
      </w:r>
      <w:r>
        <w:t xml:space="preserve"> </w:t>
      </w:r>
      <w:r>
        <w:rPr>
          <w:bCs/>
          <w:b/>
        </w:rPr>
        <w:t xml:space="preserve">Kuala Lumpur</w:t>
      </w:r>
      <w:r>
        <w:t xml:space="preserve">. Telepharmacy services, electronic health records (EHRs), and mobile apps for medication reminders are now common. For instance, the MOH’s e-Pharmacy initiative allows patients to order medications online, reducing the burden on physical pharmacies.</w:t>
      </w:r>
    </w:p>
    <w:p>
      <w:pPr>
        <w:pStyle w:val="BodyText"/>
      </w:pPr>
      <w:r>
        <w:t xml:space="preserve">Research by Suri et al. (2023) found that pharmacists in Kuala Lumpur who utilized EHRs reported a 30% improvement in medication accuracy and patient satisfaction. However, challenges such as cybersecurity risks and digital literacy gaps among older patients remain unresolved.</w:t>
      </w:r>
    </w:p>
    <w:bookmarkEnd w:id="24"/>
    <w:bookmarkStart w:id="25" w:name="Xf180c6394e4debd9be1fcffe20039352216a264"/>
    <w:p>
      <w:pPr>
        <w:pStyle w:val="Heading2"/>
      </w:pPr>
      <w:r>
        <w:t xml:space="preserve">Future Directions for Pharmacists in Kuala Lumpur</w:t>
      </w:r>
    </w:p>
    <w:p>
      <w:pPr>
        <w:pStyle w:val="FirstParagraph"/>
      </w:pPr>
      <w:r>
        <w:t xml:space="preserve">The future of pharmacy practice in</w:t>
      </w:r>
      <w:r>
        <w:t xml:space="preserve"> </w:t>
      </w:r>
      <w:r>
        <w:rPr>
          <w:bCs/>
          <w:b/>
        </w:rPr>
        <w:t xml:space="preserve">Kuala Lumpur</w:t>
      </w:r>
      <w:r>
        <w:t xml:space="preserve"> </w:t>
      </w:r>
      <w:r>
        <w:t xml:space="preserve">hinges on several factors:</w:t>
      </w:r>
    </w:p>
    <w:p>
      <w:pPr>
        <w:numPr>
          <w:ilvl w:val="0"/>
          <w:numId w:val="1003"/>
        </w:numPr>
        <w:pStyle w:val="Compact"/>
      </w:pPr>
      <w:r>
        <w:rPr>
          <w:bCs/>
          <w:b/>
        </w:rPr>
        <w:t xml:space="preserve">Policymaking:</w:t>
      </w:r>
      <w:r>
        <w:t xml:space="preserve"> </w:t>
      </w:r>
      <w:r>
        <w:t xml:space="preserve">Strengthening regulations to recognize pharmacists as primary healthcare providers and expand their scope of practice.</w:t>
      </w:r>
    </w:p>
    <w:p>
      <w:pPr>
        <w:numPr>
          <w:ilvl w:val="0"/>
          <w:numId w:val="1003"/>
        </w:numPr>
        <w:pStyle w:val="Compact"/>
      </w:pPr>
      <w:r>
        <w:rPr>
          <w:bCs/>
          <w:b/>
        </w:rPr>
        <w:t xml:space="preserve">Educational Reforms:</w:t>
      </w:r>
      <w:r>
        <w:t xml:space="preserve"> </w:t>
      </w:r>
      <w:r>
        <w:t xml:space="preserve">Integrating more clinical training into pharmacy curricula to prepare graduates for complex patient care scenarios.</w:t>
      </w:r>
    </w:p>
    <w:p>
      <w:pPr>
        <w:numPr>
          <w:ilvl w:val="0"/>
          <w:numId w:val="1003"/>
        </w:numPr>
        <w:pStyle w:val="Compact"/>
      </w:pPr>
      <w:r>
        <w:rPr>
          <w:bCs/>
          <w:b/>
        </w:rPr>
        <w:t xml:space="preserve">Collaboration:</w:t>
      </w:r>
      <w:r>
        <w:t xml:space="preserve"> </w:t>
      </w:r>
      <w:r>
        <w:t xml:space="preserve">Enhancing collaboration between pharmacists, physicians, and other healthcare professionals to ensure holistic patient outcomes.</w:t>
      </w:r>
    </w:p>
    <w:p>
      <w:pPr>
        <w:pStyle w:val="FirstParagraph"/>
      </w:pPr>
      <w:r>
        <w:t xml:space="preserve">In conclusion, the</w:t>
      </w:r>
      <w:r>
        <w:t xml:space="preserve"> </w:t>
      </w:r>
      <w:r>
        <w:rPr>
          <w:bCs/>
          <w:b/>
        </w:rPr>
        <w:t xml:space="preserve">Literature Review</w:t>
      </w:r>
      <w:r>
        <w:t xml:space="preserve"> </w:t>
      </w:r>
      <w:r>
        <w:t xml:space="preserve">underscores the vital role of</w:t>
      </w:r>
      <w:r>
        <w:t xml:space="preserve"> </w:t>
      </w:r>
      <w:r>
        <w:rPr>
          <w:bCs/>
          <w:b/>
        </w:rPr>
        <w:t xml:space="preserve">Pharmacists</w:t>
      </w:r>
      <w:r>
        <w:t xml:space="preserve"> </w:t>
      </w:r>
      <w:r>
        <w:t xml:space="preserve">in</w:t>
      </w:r>
      <w:r>
        <w:t xml:space="preserve"> </w:t>
      </w:r>
      <w:r>
        <w:rPr>
          <w:bCs/>
          <w:b/>
        </w:rPr>
        <w:t xml:space="preserve">Kuala Lumpur, Malaysia</w:t>
      </w:r>
      <w:r>
        <w:t xml:space="preserve">, as they navigate evolving healthcare demands and technological advancements. Their contributions are indispensable to the city’s public health infrastructure, and continued investment in education, policy, and innovation will be crucial for their success.</w:t>
      </w:r>
    </w:p>
    <w:p>
      <w:pPr>
        <w:pStyle w:val="BodyText"/>
      </w:pPr>
      <w:r>
        <w:rPr>
          <w:iCs/>
          <w:i/>
        </w:rPr>
        <w:t xml:space="preserve">Word Count: 820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2026-07-25T00:58:03Z</dcterms:created>
  <dcterms:modified xsi:type="dcterms:W3CDTF">2026-07-25T00:58:03Z</dcterms:modified>
</cp:coreProperties>
</file>

<file path=docProps/custom.xml><?xml version="1.0" encoding="utf-8"?>
<Properties xmlns="http://schemas.openxmlformats.org/officeDocument/2006/custom-properties" xmlns:vt="http://schemas.openxmlformats.org/officeDocument/2006/docPropsVTypes"/>
</file>