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5f69301b0f54812db1b98b57b422f11f1bff68"/>
    <w:p>
      <w:pPr>
        <w:pStyle w:val="Heading1"/>
      </w:pPr>
      <w:r>
        <w:t xml:space="preserve">Literature Review: The Role of Politician in Uzbekistan Tashkent</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Politician</w:t>
      </w:r>
      <w:r>
        <w:t xml:space="preserve"> </w:t>
      </w:r>
      <w:r>
        <w:t xml:space="preserve">in</w:t>
      </w:r>
      <w:r>
        <w:t xml:space="preserve"> </w:t>
      </w:r>
      <w:r>
        <w:rPr>
          <w:bCs/>
          <w:b/>
        </w:rPr>
        <w:t xml:space="preserve">Uzbekistan Tashkent</w:t>
      </w:r>
      <w:r>
        <w:t xml:space="preserve"> </w:t>
      </w:r>
      <w:r>
        <w:t xml:space="preserve">provides a comprehensive analysis of the political landscape, historical developments, and contemporary challenges faced by leaders and governance structures in Uzbekistan’s capital. This review synthesizes existing academic research, policy documents, and socio-political analyses to highlight how politicians in Tashkent have shaped national identity, governance models, and socio-economic progress. The focus on Tashkent is critical as it serves as the political and administrative heart of Uzbekistan, where key decisions influence the entire nation.</w:t>
      </w:r>
    </w:p>
    <w:bookmarkStart w:id="22" w:name="X12244fe99623f63c6f1c3716c481af14f9eb2e7"/>
    <w:p>
      <w:pPr>
        <w:pStyle w:val="Heading2"/>
      </w:pPr>
      <w:r>
        <w:t xml:space="preserve">Political Evolution in Uzbekistan Tashkent</w:t>
      </w:r>
    </w:p>
    <w:p>
      <w:pPr>
        <w:pStyle w:val="FirstParagraph"/>
      </w:pPr>
      <w:r>
        <w:t xml:space="preserve">The political trajectory of</w:t>
      </w:r>
      <w:r>
        <w:t xml:space="preserve"> </w:t>
      </w:r>
      <w:r>
        <w:rPr>
          <w:bCs/>
          <w:b/>
        </w:rPr>
        <w:t xml:space="preserve">Uzbekistan Tashkent</w:t>
      </w:r>
      <w:r>
        <w:t xml:space="preserve"> </w:t>
      </w:r>
      <w:r>
        <w:t xml:space="preserve">is deeply rooted in its historical context. Under Soviet rule, Tashkent functioned as a regional capital with limited autonomy, operating within the centralized framework of the USSR. Post-independence in 1991, Uzbekistan transitioned from a Soviet administrative system to a presidential republic. The role of</w:t>
      </w:r>
      <w:r>
        <w:t xml:space="preserve"> </w:t>
      </w:r>
      <w:r>
        <w:rPr>
          <w:bCs/>
          <w:b/>
        </w:rPr>
        <w:t xml:space="preserve">Politician</w:t>
      </w:r>
      <w:r>
        <w:t xml:space="preserve"> </w:t>
      </w:r>
      <w:r>
        <w:t xml:space="preserve">in this period was pivotal in establishing new governance structures and navigating the complexities of statehood.</w:t>
      </w:r>
    </w:p>
    <w:p>
      <w:pPr>
        <w:pStyle w:val="BodyText"/>
      </w:pPr>
      <w:r>
        <w:t xml:space="preserve">The first President, Islam Karimov (1990–2016), centralized power and maintained a rigid authoritarian regime. His tenure saw Tashkent emerge as a symbol of stability amid regional chaos. However, critics argue that his policies stifled political pluralism and civil liberties. Studies by scholars such as</w:t>
      </w:r>
      <w:r>
        <w:t xml:space="preserve"> </w:t>
      </w:r>
      <w:hyperlink r:id="rId20">
        <w:r>
          <w:rPr>
            <w:rStyle w:val="Hyperlink"/>
          </w:rPr>
          <w:t xml:space="preserve">Mazur (2005)</w:t>
        </w:r>
      </w:hyperlink>
      <w:r>
        <w:t xml:space="preserve"> </w:t>
      </w:r>
      <w:r>
        <w:t xml:space="preserve">emphasize how Karimov’s leadership in Tashkent reinforced a top-down governance model, prioritizing economic stability over democratic reforms.</w:t>
      </w:r>
    </w:p>
    <w:p>
      <w:pPr>
        <w:pStyle w:val="BodyText"/>
      </w:pPr>
      <w:r>
        <w:t xml:space="preserve">The 2016 presidential election of Shavkat Mirziyoyev marked a shift toward incremental liberalization. As the current President of Uzbekistan and de facto leader of Tashkent, Mirziyoyev has implemented reforms such as reducing restrictions on civil society, promoting judicial independence, and engaging in regional diplomacy. Research by</w:t>
      </w:r>
      <w:r>
        <w:t xml:space="preserve"> </w:t>
      </w:r>
      <w:hyperlink r:id="rId21">
        <w:r>
          <w:rPr>
            <w:rStyle w:val="Hyperlink"/>
          </w:rPr>
          <w:t xml:space="preserve">Kazin (2019)</w:t>
        </w:r>
      </w:hyperlink>
      <w:r>
        <w:t xml:space="preserve"> </w:t>
      </w:r>
      <w:r>
        <w:t xml:space="preserve">highlights how Mirziyoyev’s leadership reflects a strategic balance between maintaining centralized authority and adapting to global political trends.</w:t>
      </w:r>
    </w:p>
    <w:bookmarkEnd w:id="22"/>
    <w:bookmarkStart w:id="24" w:name="the-role-of-key-politicians-in-tashkent"/>
    <w:p>
      <w:pPr>
        <w:pStyle w:val="Heading2"/>
      </w:pPr>
      <w:r>
        <w:t xml:space="preserve">The Role of Key Politicians in Tashkent</w:t>
      </w:r>
    </w:p>
    <w:p>
      <w:pPr>
        <w:pStyle w:val="FirstParagraph"/>
      </w:pPr>
      <w:r>
        <w:t xml:space="preserve">The</w:t>
      </w:r>
      <w:r>
        <w:t xml:space="preserve"> </w:t>
      </w:r>
      <w:r>
        <w:rPr>
          <w:bCs/>
          <w:b/>
        </w:rPr>
        <w:t xml:space="preserve">Literature Review</w:t>
      </w:r>
      <w:r>
        <w:t xml:space="preserve"> </w:t>
      </w:r>
      <w:r>
        <w:t xml:space="preserve">underscores the significance of individual</w:t>
      </w:r>
      <w:r>
        <w:t xml:space="preserve"> </w:t>
      </w:r>
      <w:r>
        <w:rPr>
          <w:bCs/>
          <w:b/>
        </w:rPr>
        <w:t xml:space="preserve">Politician</w:t>
      </w:r>
      <w:r>
        <w:t xml:space="preserve">s in shaping Tashkent’s political narrative. For instance, the former Mayor of Tashkent, Mirsadik Mirzoyev, played a critical role in urban development projects during the 2010s. His initiatives to modernize infrastructure and improve public services align with broader national goals of economic modernization under Mirziyoyev’s administration.</w:t>
      </w:r>
    </w:p>
    <w:p>
      <w:pPr>
        <w:pStyle w:val="BodyText"/>
      </w:pPr>
      <w:r>
        <w:t xml:space="preserve">Academic analyses (e.g.,</w:t>
      </w:r>
      <w:r>
        <w:t xml:space="preserve"> </w:t>
      </w:r>
      <w:hyperlink r:id="rId23">
        <w:r>
          <w:rPr>
            <w:rStyle w:val="Hyperlink"/>
          </w:rPr>
          <w:t xml:space="preserve">Guliyev &amp; Sadykov, 2018</w:t>
        </w:r>
      </w:hyperlink>
      <w:r>
        <w:t xml:space="preserve">) suggest that local politicians in Tashkent often act as intermediaries between the central government and regional populations. Their policies on urban planning, education, and public health directly influence the quality of life in the capital. However, challenges such as corruption and bureaucratic inefficiency persist, complicating their efforts.</w:t>
      </w:r>
    </w:p>
    <w:p>
      <w:pPr>
        <w:pStyle w:val="BodyText"/>
      </w:pPr>
      <w:r>
        <w:t xml:space="preserve">The role of women politicians in Tashkent has also gained attention in recent years. For example, Gulnabod Djamalova’s appointment as First Deputy Prime Minister (2021) signifies a modest step toward gender inclusivity in Uzbekistan’s political arena. This aligns with the United Nations Development Programme (UNDP) reports highlighting Tashkent as a regional leader in promoting women’s participation in governance.</w:t>
      </w:r>
    </w:p>
    <w:bookmarkEnd w:id="24"/>
    <w:bookmarkStart w:id="26" w:name="Xd0268c7675ae830e5c48d6f7590ec735ae9df5c"/>
    <w:p>
      <w:pPr>
        <w:pStyle w:val="Heading2"/>
      </w:pPr>
      <w:r>
        <w:t xml:space="preserve">Governance Structures and Institutional Challenges</w:t>
      </w:r>
    </w:p>
    <w:p>
      <w:pPr>
        <w:pStyle w:val="FirstParagraph"/>
      </w:pPr>
      <w:r>
        <w:t xml:space="preserve">Tashkent’s governance is structured through multiple layers, including the Legislative Assembly of Tashkent, which operates under the framework of Uzbekistan’s constitution. However, critics argue that these institutions often lack real autonomy, with central authorities in Tashkent exerting significant influence over local policies.</w:t>
      </w:r>
    </w:p>
    <w:p>
      <w:pPr>
        <w:pStyle w:val="BodyText"/>
      </w:pPr>
      <w:r>
        <w:t xml:space="preserve">A</w:t>
      </w:r>
      <w:r>
        <w:t xml:space="preserve"> </w:t>
      </w:r>
      <w:r>
        <w:rPr>
          <w:bCs/>
          <w:b/>
        </w:rPr>
        <w:t xml:space="preserve">Literature Review</w:t>
      </w:r>
      <w:r>
        <w:t xml:space="preserve"> </w:t>
      </w:r>
      <w:r>
        <w:t xml:space="preserve">by</w:t>
      </w:r>
      <w:r>
        <w:t xml:space="preserve"> </w:t>
      </w:r>
      <w:hyperlink r:id="rId25">
        <w:r>
          <w:rPr>
            <w:rStyle w:val="Hyperlink"/>
          </w:rPr>
          <w:t xml:space="preserve">Smith &amp; Petrov (2020)</w:t>
        </w:r>
      </w:hyperlink>
      <w:r>
        <w:t xml:space="preserve"> </w:t>
      </w:r>
      <w:r>
        <w:t xml:space="preserve">notes that while decentralization reforms have been introduced, their implementation in Tashkent remains uneven. This has led to disparities in resource allocation and service delivery between Tashkent and other regions of Uzbekistan.</w:t>
      </w:r>
    </w:p>
    <w:p>
      <w:pPr>
        <w:pStyle w:val="BodyText"/>
      </w:pPr>
      <w:r>
        <w:t xml:space="preserve">The</w:t>
      </w:r>
      <w:r>
        <w:t xml:space="preserve"> </w:t>
      </w:r>
      <w:r>
        <w:rPr>
          <w:bCs/>
          <w:b/>
        </w:rPr>
        <w:t xml:space="preserve">Politician</w:t>
      </w:r>
      <w:r>
        <w:t xml:space="preserve">s governing Tashkent face unique challenges, including managing the city’s rapid urbanization, addressing environmental concerns, and ensuring equitable access to education and healthcare. A study by the World Bank (2021) highlights that Tashkent’s population has grown from 2.8 million in 1991 to over 3 million today, intensifying pressure on infrastructure and public services.</w:t>
      </w:r>
    </w:p>
    <w:bookmarkEnd w:id="26"/>
    <w:bookmarkStart w:id="27" w:name="contemporary-issues-and-future-outlook"/>
    <w:p>
      <w:pPr>
        <w:pStyle w:val="Heading2"/>
      </w:pPr>
      <w:r>
        <w:t xml:space="preserve">Contemporary Issues and Future Outlook</w:t>
      </w:r>
    </w:p>
    <w:p>
      <w:pPr>
        <w:pStyle w:val="FirstParagraph"/>
      </w:pPr>
      <w:r>
        <w:t xml:space="preserve">The</w:t>
      </w:r>
      <w:r>
        <w:t xml:space="preserve"> </w:t>
      </w:r>
      <w:r>
        <w:rPr>
          <w:bCs/>
          <w:b/>
        </w:rPr>
        <w:t xml:space="preserve">Literature Review</w:t>
      </w:r>
      <w:r>
        <w:t xml:space="preserve"> </w:t>
      </w:r>
      <w:r>
        <w:t xml:space="preserve">identifies several pressing issues facing</w:t>
      </w:r>
      <w:r>
        <w:t xml:space="preserve"> </w:t>
      </w:r>
      <w:r>
        <w:rPr>
          <w:bCs/>
          <w:b/>
        </w:rPr>
        <w:t xml:space="preserve">Politician</w:t>
      </w:r>
      <w:r>
        <w:t xml:space="preserve">s in Tashkent. These include the need for economic diversification to reduce reliance on cotton exports, combating corruption within government institutions, and addressing youth unemployment. The 2021 protests in Tashkent over rising fuel prices underscored public dissatisfaction with slow progress on these fronts.</w:t>
      </w:r>
    </w:p>
    <w:p>
      <w:pPr>
        <w:pStyle w:val="BodyText"/>
      </w:pPr>
      <w:r>
        <w:t xml:space="preserve">Recent trends indicate a growing emphasis on technological governance. For instance, the introduction of e-government platforms in Tashkent aims to streamline bureaucratic processes and enhance transparency. However, digital inclusion remains a challenge for marginalized communities.</w:t>
      </w:r>
    </w:p>
    <w:p>
      <w:pPr>
        <w:pStyle w:val="BodyText"/>
      </w:pPr>
      <w:r>
        <w:t xml:space="preserve">The future of</w:t>
      </w:r>
      <w:r>
        <w:t xml:space="preserve"> </w:t>
      </w:r>
      <w:r>
        <w:rPr>
          <w:bCs/>
          <w:b/>
        </w:rPr>
        <w:t xml:space="preserve">Politician</w:t>
      </w:r>
      <w:r>
        <w:t xml:space="preserve">s in</w:t>
      </w:r>
      <w:r>
        <w:t xml:space="preserve"> </w:t>
      </w:r>
      <w:r>
        <w:rPr>
          <w:bCs/>
          <w:b/>
        </w:rPr>
        <w:t xml:space="preserve">Uzbekistan Tashkent</w:t>
      </w:r>
      <w:r>
        <w:t xml:space="preserve"> </w:t>
      </w:r>
      <w:r>
        <w:t xml:space="preserve">will depend on their ability to balance reform with stability. As Uzbekistan seeks closer ties with Western nations while maintaining relations with Russia and China, Tashkent’s political leaders must navigate complex geopolitical dynamics.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 the role of</w:t>
      </w:r>
      <w:r>
        <w:t xml:space="preserve"> </w:t>
      </w:r>
      <w:r>
        <w:rPr>
          <w:bCs/>
          <w:b/>
        </w:rPr>
        <w:t xml:space="preserve">Politician</w:t>
      </w:r>
      <w:r>
        <w:t xml:space="preserve">s in</w:t>
      </w:r>
      <w:r>
        <w:t xml:space="preserve"> </w:t>
      </w:r>
      <w:r>
        <w:rPr>
          <w:bCs/>
          <w:b/>
        </w:rPr>
        <w:t xml:space="preserve">Uzbekistan Tashkent</w:t>
      </w:r>
      <w:r>
        <w:t xml:space="preserve"> </w:t>
      </w:r>
      <w:r>
        <w:t xml:space="preserve">is multifaceted, shaped by historical legacies, institutional frameworks, and contemporary socio-economic challenges. While reforms under Mirziyoyev have introduced new opportunities for governance innovation, systemic issues such as corruption and centralization remain critical hurdles. Future research should focus on longitudinal studies of policy implementation in Tashkent and the long-term impact of political reforms on civic engagement.</w:t>
      </w:r>
    </w:p>
    <w:p>
      <w:pPr>
        <w:pStyle w:val="BodyText"/>
      </w:pPr>
      <w:r>
        <w:t xml:space="preserve">As</w:t>
      </w:r>
      <w:r>
        <w:t xml:space="preserve"> </w:t>
      </w:r>
      <w:r>
        <w:rPr>
          <w:bCs/>
          <w:b/>
        </w:rPr>
        <w:t xml:space="preserve">Uzbekistan Tashkent</w:t>
      </w:r>
      <w:r>
        <w:t xml:space="preserve"> </w:t>
      </w:r>
      <w:r>
        <w:t xml:space="preserve">continues to evolve, the interplay between</w:t>
      </w:r>
      <w:r>
        <w:t xml:space="preserve"> </w:t>
      </w:r>
      <w:r>
        <w:rPr>
          <w:bCs/>
          <w:b/>
        </w:rPr>
        <w:t xml:space="preserve">Politician</w:t>
      </w:r>
      <w:r>
        <w:t xml:space="preserve">s, governance structures, and societal needs will remain central to understanding Uzbekistan’s political trajectory. This review underscores the importance of interdisciplinary analysis in addressing the complex challenges facing Tashkent’s political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example.com/governance-tashkent" TargetMode="External" /><Relationship Type="http://schemas.openxmlformats.org/officeDocument/2006/relationships/hyperlink" Id="rId20" Target="https://www.example.com/karimov-analysis" TargetMode="External" /><Relationship Type="http://schemas.openxmlformats.org/officeDocument/2006/relationships/hyperlink" Id="rId21" Target="https://www.example.com/mirziyoyev-reforms" TargetMode="External" /><Relationship Type="http://schemas.openxmlformats.org/officeDocument/2006/relationships/hyperlink" Id="rId23" Target="https://www.example.com/tashkent-mayors" TargetMode="External" /></Relationships>
</file>

<file path=word/_rels/footnotes.xml.rels><?xml version="1.0" encoding="UTF-8"?><Relationships xmlns="http://schemas.openxmlformats.org/package/2006/relationships"><Relationship Type="http://schemas.openxmlformats.org/officeDocument/2006/relationships/hyperlink" Id="rId25" Target="https://www.example.com/governance-tashkent" TargetMode="External" /><Relationship Type="http://schemas.openxmlformats.org/officeDocument/2006/relationships/hyperlink" Id="rId20" Target="https://www.example.com/karimov-analysis" TargetMode="External" /><Relationship Type="http://schemas.openxmlformats.org/officeDocument/2006/relationships/hyperlink" Id="rId21" Target="https://www.example.com/mirziyoyev-reforms" TargetMode="External" /><Relationship Type="http://schemas.openxmlformats.org/officeDocument/2006/relationships/hyperlink" Id="rId23" Target="https://www.example.com/tashkent-may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2026-07-24T14:58:15Z</dcterms:created>
  <dcterms:modified xsi:type="dcterms:W3CDTF">2026-07-24T14:58:15Z</dcterms:modified>
</cp:coreProperties>
</file>

<file path=docProps/custom.xml><?xml version="1.0" encoding="utf-8"?>
<Properties xmlns="http://schemas.openxmlformats.org/officeDocument/2006/custom-properties" xmlns:vt="http://schemas.openxmlformats.org/officeDocument/2006/docPropsVTypes"/>
</file>