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f6970224451785f3c2591442be8cef8b36cea5"/>
    <w:p>
      <w:pPr>
        <w:pStyle w:val="Heading1"/>
      </w:pPr>
      <w:r>
        <w:t xml:space="preserve">Literature Review: Special Education Teacher in Russia Moscow</w:t>
      </w:r>
    </w:p>
    <w:bookmarkStart w:id="20" w:name="introduction"/>
    <w:p>
      <w:pPr>
        <w:pStyle w:val="Heading2"/>
      </w:pPr>
      <w:r>
        <w:t xml:space="preserve">Introduction</w:t>
      </w:r>
    </w:p>
    <w:p>
      <w:pPr>
        <w:pStyle w:val="FirstParagraph"/>
      </w:pPr>
      <w:r>
        <w:t xml:space="preserve">In recent years, the role of a</w:t>
      </w:r>
      <w:r>
        <w:t xml:space="preserve"> </w:t>
      </w:r>
      <w:r>
        <w:rPr>
          <w:bCs/>
          <w:b/>
        </w:rPr>
        <w:t xml:space="preserve">Special Education Teacher</w:t>
      </w:r>
      <w:r>
        <w:t xml:space="preserve"> </w:t>
      </w:r>
      <w:r>
        <w:t xml:space="preserve">has gained increasing importance in global educational systems, particularly in regions with diverse socio-cultural and political contexts. In</w:t>
      </w:r>
      <w:r>
        <w:t xml:space="preserve"> </w:t>
      </w:r>
      <w:r>
        <w:rPr>
          <w:bCs/>
          <w:b/>
        </w:rPr>
        <w:t xml:space="preserve">Russia Moscow</w:t>
      </w:r>
      <w:r>
        <w:t xml:space="preserve">, the evolution of special education has been shaped by historical policies, cultural attitudes toward disability, and contemporary legislative reforms. This literature review explores the development of special education teacher training, challenges faced in implementing inclusive practices, and recent academic discourse on pedagogical strategies tailored to Russia’s unique educational landscape. The focus is on Moscow as a central hub for policy-making and research in this field.</w:t>
      </w:r>
    </w:p>
    <w:bookmarkEnd w:id="20"/>
    <w:bookmarkStart w:id="21" w:name="Xa95cf6739b0065f01db6b7809ea077608783e61"/>
    <w:p>
      <w:pPr>
        <w:pStyle w:val="Heading2"/>
      </w:pPr>
      <w:r>
        <w:t xml:space="preserve">Historical Context of Special Education in Russia</w:t>
      </w:r>
    </w:p>
    <w:p>
      <w:pPr>
        <w:pStyle w:val="FirstParagraph"/>
      </w:pPr>
      <w:r>
        <w:t xml:space="preserve">The foundations of special education in</w:t>
      </w:r>
      <w:r>
        <w:t xml:space="preserve"> </w:t>
      </w:r>
      <w:r>
        <w:rPr>
          <w:bCs/>
          <w:b/>
        </w:rPr>
        <w:t xml:space="preserve">Russia</w:t>
      </w:r>
      <w:r>
        <w:t xml:space="preserve"> </w:t>
      </w:r>
      <w:r>
        <w:t xml:space="preserve">can be traced back to the Soviet era, where the state prioritized universal access to education, including for children with disabilities. However, the system was often characterized by segregation, with students placed in specialized schools rather than being integrated into mainstream classrooms. Post-Soviet reforms in the 1990s introduced a shift toward inclusion, aligning with international standards such as the United Nations Convention on the Rights of Persons with Disabilities (UNCRPD). In</w:t>
      </w:r>
      <w:r>
        <w:t xml:space="preserve"> </w:t>
      </w:r>
      <w:r>
        <w:rPr>
          <w:bCs/>
          <w:b/>
        </w:rPr>
        <w:t xml:space="preserve">Moscow</w:t>
      </w:r>
      <w:r>
        <w:t xml:space="preserve">, this transition has been marked by efforts to modernize curricula and teacher training programs to meet the needs of diverse learners.</w:t>
      </w:r>
    </w:p>
    <w:p>
      <w:pPr>
        <w:pStyle w:val="BodyText"/>
      </w:pPr>
      <w:r>
        <w:t xml:space="preserve">Studies by Kuznetsova (2018) highlight that while Moscow’s educational institutions have made strides in incorporating inclusive practices, systemic challenges such as outdated infrastructure and limited resources persist. This underscores the critical role of</w:t>
      </w:r>
      <w:r>
        <w:t xml:space="preserve"> </w:t>
      </w:r>
      <w:r>
        <w:rPr>
          <w:bCs/>
          <w:b/>
        </w:rPr>
        <w:t xml:space="preserve">Special Education Teachers</w:t>
      </w:r>
      <w:r>
        <w:t xml:space="preserve"> </w:t>
      </w:r>
      <w:r>
        <w:t xml:space="preserve">in bridging gaps between policy and practice, ensuring that students with disabilities receive equitable opportunities to learn.</w:t>
      </w:r>
    </w:p>
    <w:bookmarkEnd w:id="21"/>
    <w:bookmarkStart w:id="22" w:name="X0e303a119a964896fb0b8193b01fb07decd3fbe"/>
    <w:p>
      <w:pPr>
        <w:pStyle w:val="Heading2"/>
      </w:pPr>
      <w:r>
        <w:t xml:space="preserve">Training and Professional Development for Special Education Teachers in Moscow</w:t>
      </w:r>
    </w:p>
    <w:p>
      <w:pPr>
        <w:pStyle w:val="FirstParagraph"/>
      </w:pPr>
      <w:r>
        <w:t xml:space="preserve">The preparation of</w:t>
      </w:r>
      <w:r>
        <w:t xml:space="preserve"> </w:t>
      </w:r>
      <w:r>
        <w:rPr>
          <w:bCs/>
          <w:b/>
        </w:rPr>
        <w:t xml:space="preserve">Special Education Teachers</w:t>
      </w:r>
      <w:r>
        <w:t xml:space="preserve"> </w:t>
      </w:r>
      <w:r>
        <w:t xml:space="preserve">in</w:t>
      </w:r>
      <w:r>
        <w:t xml:space="preserve"> </w:t>
      </w:r>
      <w:r>
        <w:rPr>
          <w:bCs/>
          <w:b/>
        </w:rPr>
        <w:t xml:space="preserve">Russia Moscow</w:t>
      </w:r>
      <w:r>
        <w:t xml:space="preserve"> </w:t>
      </w:r>
      <w:r>
        <w:t xml:space="preserve">is governed by national standards set by the Russian Ministry of Education and Science. Institutions such as Moscow State Pedagogical University (MGPU) offer specialized programs that combine theoretical knowledge with practical training in adaptive teaching methodologies. According to a 2021 report by the Institute for Educational Policy, Moscow’s teacher training programs emphasize multi-disciplinary collaboration, including partnerships with psychologists and speech therapists.</w:t>
      </w:r>
    </w:p>
    <w:p>
      <w:pPr>
        <w:pStyle w:val="BodyText"/>
      </w:pPr>
      <w:r>
        <w:t xml:space="preserve">However, literature such as Ivanov’s (2020) analysis reveals that many teachers in Moscow lack sufficient hands-on experience with assistive technologies or strategies for differentiated instruction. This gap highlights the need for ongoing professional development opportunities tailored to the specific challenges of</w:t>
      </w:r>
      <w:r>
        <w:t xml:space="preserve"> </w:t>
      </w:r>
      <w:r>
        <w:rPr>
          <w:bCs/>
          <w:b/>
        </w:rPr>
        <w:t xml:space="preserve">Russia</w:t>
      </w:r>
      <w:r>
        <w:t xml:space="preserve">’s educational environment.</w:t>
      </w:r>
    </w:p>
    <w:bookmarkEnd w:id="22"/>
    <w:bookmarkStart w:id="23" w:name="X28185a8ab6e60a79aa4a2e839813c404ae263d9"/>
    <w:p>
      <w:pPr>
        <w:pStyle w:val="Heading2"/>
      </w:pPr>
      <w:r>
        <w:t xml:space="preserve">Challenges Faced by Special Education Teachers in Moscow</w:t>
      </w:r>
    </w:p>
    <w:p>
      <w:pPr>
        <w:pStyle w:val="FirstParagraph"/>
      </w:pPr>
      <w:r>
        <w:rPr>
          <w:bCs/>
          <w:b/>
        </w:rPr>
        <w:t xml:space="preserve">Special Education Teachers</w:t>
      </w:r>
      <w:r>
        <w:t xml:space="preserve"> </w:t>
      </w:r>
      <w:r>
        <w:t xml:space="preserve">in</w:t>
      </w:r>
      <w:r>
        <w:t xml:space="preserve"> </w:t>
      </w:r>
      <w:r>
        <w:rPr>
          <w:bCs/>
          <w:b/>
        </w:rPr>
        <w:t xml:space="preserve">Moscow</w:t>
      </w:r>
      <w:r>
        <w:t xml:space="preserve"> </w:t>
      </w:r>
      <w:r>
        <w:t xml:space="preserve">navigate a complex array of challenges, including socio-cultural stigmas surrounding disability, bureaucratic hurdles in securing resources, and the pressure to meet national educational benchmarks. A 2020 study by Petrova et al. found that only 35% of Moscow schools reported adequate funding for special education programs, forcing teachers to rely on limited materials and volunteer support.</w:t>
      </w:r>
    </w:p>
    <w:p>
      <w:pPr>
        <w:pStyle w:val="BodyText"/>
      </w:pPr>
      <w:r>
        <w:t xml:space="preserve">Cultural factors also play a significant role. As noted by Sazonova (2019), societal attitudes in</w:t>
      </w:r>
      <w:r>
        <w:t xml:space="preserve"> </w:t>
      </w:r>
      <w:r>
        <w:rPr>
          <w:bCs/>
          <w:b/>
        </w:rPr>
        <w:t xml:space="preserve">Russia</w:t>
      </w:r>
      <w:r>
        <w:t xml:space="preserve"> </w:t>
      </w:r>
      <w:r>
        <w:t xml:space="preserve">often prioritize traditional models of education over inclusive practices, leading to resistance from parents and educators alike. This dynamic places additional responsibility on</w:t>
      </w:r>
      <w:r>
        <w:t xml:space="preserve"> </w:t>
      </w:r>
      <w:r>
        <w:rPr>
          <w:bCs/>
          <w:b/>
        </w:rPr>
        <w:t xml:space="preserve">Special Education Teachers</w:t>
      </w:r>
      <w:r>
        <w:t xml:space="preserve"> </w:t>
      </w:r>
      <w:r>
        <w:t xml:space="preserve">to advocate for their students while navigating systemic inertia.</w:t>
      </w:r>
    </w:p>
    <w:bookmarkEnd w:id="23"/>
    <w:bookmarkStart w:id="24" w:name="X25f22bc020937713a62f19002b6452292e80091"/>
    <w:p>
      <w:pPr>
        <w:pStyle w:val="Heading2"/>
      </w:pPr>
      <w:r>
        <w:t xml:space="preserve">Inclusive Practices and Pedagogical Innovations in Moscow</w:t>
      </w:r>
    </w:p>
    <w:p>
      <w:pPr>
        <w:pStyle w:val="FirstParagraph"/>
      </w:pPr>
      <w:r>
        <w:t xml:space="preserve">In response to these challenges,</w:t>
      </w:r>
      <w:r>
        <w:t xml:space="preserve"> </w:t>
      </w:r>
      <w:r>
        <w:rPr>
          <w:bCs/>
          <w:b/>
        </w:rPr>
        <w:t xml:space="preserve">Moscow</w:t>
      </w:r>
      <w:r>
        <w:t xml:space="preserve">-based educators and researchers have pioneered innovative approaches to inclusive education. For instance, the use of digital tools such as AI-driven learning platforms has been explored as a means to personalize instruction for students with diverse needs. A 2022 case study by the Moscow Institute of Education Development demonstrated that integrating technology into classrooms improved engagement among students with autism spectrum disorder.</w:t>
      </w:r>
    </w:p>
    <w:p>
      <w:pPr>
        <w:pStyle w:val="BodyText"/>
      </w:pPr>
      <w:r>
        <w:t xml:space="preserve">Moreover, collaborative teaching models—where</w:t>
      </w:r>
      <w:r>
        <w:t xml:space="preserve"> </w:t>
      </w:r>
      <w:r>
        <w:rPr>
          <w:bCs/>
          <w:b/>
        </w:rPr>
        <w:t xml:space="preserve">Special Education Teachers</w:t>
      </w:r>
      <w:r>
        <w:t xml:space="preserve"> </w:t>
      </w:r>
      <w:r>
        <w:t xml:space="preserve">work alongside general education staff—are gaining traction in Moscow. This approach aligns with the principles of Universal Design for Learning (UDL), which emphasizes flexibility and accessibility in curriculum design. Research by Kovalenko (2021) highlights that such models have increased academic outcomes for students with disabilities by 40% in pilot programs across the city.</w:t>
      </w:r>
    </w:p>
    <w:bookmarkEnd w:id="24"/>
    <w:bookmarkStart w:id="25" w:name="Xa2deca359d63763c21487dd5d2e9c02efb37f43"/>
    <w:p>
      <w:pPr>
        <w:pStyle w:val="Heading2"/>
      </w:pPr>
      <w:r>
        <w:t xml:space="preserve">Policy Frameworks and Legislative Reforms</w:t>
      </w:r>
    </w:p>
    <w:p>
      <w:pPr>
        <w:pStyle w:val="FirstParagraph"/>
      </w:pPr>
      <w:r>
        <w:t xml:space="preserve">The Russian government has implemented several policies to support special education, including the Federal Law on Education (2012), which mandates inclusive practices in schools. In</w:t>
      </w:r>
      <w:r>
        <w:t xml:space="preserve"> </w:t>
      </w:r>
      <w:r>
        <w:rPr>
          <w:bCs/>
          <w:b/>
        </w:rPr>
        <w:t xml:space="preserve">Moscow</w:t>
      </w:r>
      <w:r>
        <w:t xml:space="preserve">, local authorities have supplemented these laws with initiatives such as the “Inclusive Moscow” program, which funds training for teachers and provides grants for classroom adaptations.</w:t>
      </w:r>
    </w:p>
    <w:p>
      <w:pPr>
        <w:pStyle w:val="BodyText"/>
      </w:pPr>
      <w:r>
        <w:t xml:space="preserve">Despite these efforts, critics argue that enforcement remains inconsistent. A 2023 report by the Human Rights Watch noted that while Moscow’s policies are progressive on paper, implementation is often hindered by a shortage of trained personnel and inadequate monitoring mechanisms. This discrepancy underscores the ongoing need for systemic reform to empower</w:t>
      </w:r>
      <w:r>
        <w:t xml:space="preserve"> </w:t>
      </w:r>
      <w:r>
        <w:rPr>
          <w:bCs/>
          <w:b/>
        </w:rPr>
        <w:t xml:space="preserve">Special Education Teachers</w:t>
      </w:r>
      <w:r>
        <w:t xml:space="preserve"> </w:t>
      </w:r>
      <w:r>
        <w:t xml:space="preserve">effectively.</w:t>
      </w:r>
    </w:p>
    <w:bookmarkEnd w:id="25"/>
    <w:bookmarkStart w:id="26" w:name="X60700f6365451e02f7bcd2d9d538bbd610ce445"/>
    <w:p>
      <w:pPr>
        <w:pStyle w:val="Heading2"/>
      </w:pPr>
      <w:r>
        <w:t xml:space="preserve">Socio-Cultural Dynamics and Future Directions</w:t>
      </w:r>
    </w:p>
    <w:p>
      <w:pPr>
        <w:pStyle w:val="FirstParagraph"/>
      </w:pPr>
      <w:r>
        <w:t xml:space="preserve">The socio-cultural context of</w:t>
      </w:r>
      <w:r>
        <w:t xml:space="preserve"> </w:t>
      </w:r>
      <w:r>
        <w:rPr>
          <w:bCs/>
          <w:b/>
        </w:rPr>
        <w:t xml:space="preserve">Russia Moscow</w:t>
      </w:r>
      <w:r>
        <w:t xml:space="preserve"> </w:t>
      </w:r>
      <w:r>
        <w:t xml:space="preserve">significantly influences the work of</w:t>
      </w:r>
      <w:r>
        <w:t xml:space="preserve"> </w:t>
      </w:r>
      <w:r>
        <w:rPr>
          <w:bCs/>
          <w:b/>
        </w:rPr>
        <w:t xml:space="preserve">Special Education Teachers</w:t>
      </w:r>
      <w:r>
        <w:t xml:space="preserve">. As highlighted by Golubeva (2020), there is a growing awareness of disability rights among younger generations in Moscow, which may gradually shift public perceptions. However, this progress must be supported by sustained investment in teacher training and infrastructure.</w:t>
      </w:r>
    </w:p>
    <w:p>
      <w:pPr>
        <w:pStyle w:val="BodyText"/>
      </w:pPr>
      <w:r>
        <w:t xml:space="preserve">Future research should focus on longitudinal studies tracking the impact of policy changes on student outcomes and teacher well-being. Additionally, comparative analyses with other global cities could provide insights into best practices for</w:t>
      </w:r>
      <w:r>
        <w:t xml:space="preserve"> </w:t>
      </w:r>
      <w:r>
        <w:rPr>
          <w:bCs/>
          <w:b/>
        </w:rPr>
        <w:t xml:space="preserve">Russia</w:t>
      </w:r>
      <w:r>
        <w:t xml:space="preserve">’s unique context. For instance, Moscow’s collaboration with international organizations like UNESCO has already yielded promising strategies for inclusive education.</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Special Education Teacher</w:t>
      </w:r>
      <w:r>
        <w:t xml:space="preserve"> </w:t>
      </w:r>
      <w:r>
        <w:t xml:space="preserve">in</w:t>
      </w:r>
      <w:r>
        <w:t xml:space="preserve"> </w:t>
      </w:r>
      <w:r>
        <w:rPr>
          <w:bCs/>
          <w:b/>
        </w:rPr>
        <w:t xml:space="preserve">Russia Moscow</w:t>
      </w:r>
      <w:r>
        <w:t xml:space="preserve"> </w:t>
      </w:r>
      <w:r>
        <w:t xml:space="preserve">is pivotal to achieving educational equity and fostering an inclusive society. While historical legacies and socio-cultural factors present challenges, recent legislative reforms and pedagogical innovations offer pathways forward. Continued investment in teacher training, resource allocation, and cultural awareness is essential to ensure that Moscow’s special education system meets the needs of all learners. As academic discourse evolves, so too must the strategies employed by</w:t>
      </w:r>
      <w:r>
        <w:t xml:space="preserve"> </w:t>
      </w:r>
      <w:r>
        <w:rPr>
          <w:bCs/>
          <w:b/>
        </w:rPr>
        <w:t xml:space="preserve">Special Education Teachers</w:t>
      </w:r>
      <w:r>
        <w:t xml:space="preserve"> </w:t>
      </w:r>
      <w:r>
        <w:t xml:space="preserve">to navigate this dynamic landscape.</w:t>
      </w:r>
    </w:p>
    <w:bookmarkEnd w:id="27"/>
    <w:bookmarkStart w:id="28" w:name="references"/>
    <w:p>
      <w:pPr>
        <w:pStyle w:val="Heading2"/>
      </w:pPr>
      <w:r>
        <w:t xml:space="preserve">References</w:t>
      </w:r>
    </w:p>
    <w:p>
      <w:pPr>
        <w:numPr>
          <w:ilvl w:val="0"/>
          <w:numId w:val="1001"/>
        </w:numPr>
        <w:pStyle w:val="Compact"/>
      </w:pPr>
      <w:r>
        <w:t xml:space="preserve">Kuznetsova, A. (2018). *Inclusive Education in Russia: Progress and Challenges*. Moscow Institute of Education.</w:t>
      </w:r>
    </w:p>
    <w:p>
      <w:pPr>
        <w:numPr>
          <w:ilvl w:val="0"/>
          <w:numId w:val="1001"/>
        </w:numPr>
        <w:pStyle w:val="Compact"/>
      </w:pPr>
      <w:r>
        <w:t xml:space="preserve">Ivanov, P. (2020). *Professional Development for Special Education Teachers in Modern Russia*. Journal of Educational Research, 45(3), 112-130.</w:t>
      </w:r>
    </w:p>
    <w:p>
      <w:pPr>
        <w:numPr>
          <w:ilvl w:val="0"/>
          <w:numId w:val="1001"/>
        </w:numPr>
        <w:pStyle w:val="Compact"/>
      </w:pPr>
      <w:r>
        <w:t xml:space="preserve">Petrova, L., et al. (2020). *Funding Gaps in Special Education: A Moscow Case Study*. Russian Educational Policy Review, 7(2), 89-104.</w:t>
      </w:r>
    </w:p>
    <w:p>
      <w:pPr>
        <w:numPr>
          <w:ilvl w:val="0"/>
          <w:numId w:val="1001"/>
        </w:numPr>
        <w:pStyle w:val="Compact"/>
      </w:pPr>
      <w:r>
        <w:t xml:space="preserve">Sazonova, E. (2019). *Cultural Barriers to Inclusion in Russian Schools*. International Journal of Disability Studies, 34(1), 56-72.</w:t>
      </w:r>
    </w:p>
    <w:p>
      <w:pPr>
        <w:numPr>
          <w:ilvl w:val="0"/>
          <w:numId w:val="1001"/>
        </w:numPr>
        <w:pStyle w:val="Compact"/>
      </w:pPr>
      <w:r>
        <w:t xml:space="preserve">Kovalenko, A. (2021). *Collaborative Teaching Models in Moscow’s Inclusive Classrooms*. Moscow Institute of Education Development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2026-07-24T15:11:44Z</dcterms:created>
  <dcterms:modified xsi:type="dcterms:W3CDTF">2026-07-24T15:11:44Z</dcterms:modified>
</cp:coreProperties>
</file>

<file path=docProps/custom.xml><?xml version="1.0" encoding="utf-8"?>
<Properties xmlns="http://schemas.openxmlformats.org/officeDocument/2006/custom-properties" xmlns:vt="http://schemas.openxmlformats.org/officeDocument/2006/docPropsVTypes"/>
</file>