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0" w:name="X0a25ea49e3555fc202dc6c554fac3113ea03ef5"/>
    <w:p>
      <w:pPr>
        <w:pStyle w:val="Heading1"/>
      </w:pPr>
      <w:r>
        <w:t xml:space="preserve">Literature Review: The Role and Challenges of Teacher Primary in Australia Melbourne</w:t>
      </w:r>
    </w:p>
    <w:p>
      <w:pPr>
        <w:pStyle w:val="FirstParagraph"/>
      </w:pPr>
      <w:r>
        <w:rPr>
          <w:bCs/>
          <w:b/>
        </w:rPr>
        <w:t xml:space="preserve">Introduction:</w:t>
      </w:r>
    </w:p>
    <w:p>
      <w:pPr>
        <w:pStyle w:val="BodyText"/>
      </w:pPr>
      <w:r>
        <w:t xml:space="preserve">The role of a</w:t>
      </w:r>
      <w:r>
        <w:t xml:space="preserve"> </w:t>
      </w:r>
      <w:r>
        <w:rPr>
          <w:bCs/>
          <w:b/>
        </w:rPr>
        <w:t xml:space="preserve">Teacher Primary</w:t>
      </w:r>
      <w:r>
        <w:t xml:space="preserve"> </w:t>
      </w:r>
      <w:r>
        <w:t xml:space="preserve">in</w:t>
      </w:r>
      <w:r>
        <w:t xml:space="preserve"> </w:t>
      </w:r>
      <w:r>
        <w:rPr>
          <w:bCs/>
          <w:b/>
        </w:rPr>
        <w:t xml:space="preserve">Australia Melbourne</w:t>
      </w:r>
      <w:r>
        <w:t xml:space="preserve"> </w:t>
      </w:r>
      <w:r>
        <w:t xml:space="preserve">is pivotal to shaping the educational landscape, particularly within the diverse socio-cultural framework of Victoria. This literature review synthesizes existing research on primary education, focusing on challenges, innovations, and pedagogical approaches relevant to Melbourne. By examining academic studies and policy documents from Australian institutions such as Deakin University and Monash University, this review highlights the unique context of</w:t>
      </w:r>
      <w:r>
        <w:t xml:space="preserve"> </w:t>
      </w:r>
      <w:r>
        <w:rPr>
          <w:bCs/>
          <w:b/>
        </w:rPr>
        <w:t xml:space="preserve">Teacher Primary</w:t>
      </w:r>
      <w:r>
        <w:t xml:space="preserve"> </w:t>
      </w:r>
      <w:r>
        <w:t xml:space="preserve">in</w:t>
      </w:r>
      <w:r>
        <w:t xml:space="preserve"> </w:t>
      </w:r>
      <w:r>
        <w:rPr>
          <w:bCs/>
          <w:b/>
        </w:rPr>
        <w:t xml:space="preserve">Australia Melbourne</w:t>
      </w:r>
      <w:r>
        <w:t xml:space="preserve">, emphasizing their contributions to equity, inclusion, and curriculum delivery.</w:t>
      </w:r>
    </w:p>
    <w:p>
      <w:pPr>
        <w:pStyle w:val="BodyText"/>
      </w:pPr>
      <w:r>
        <w:rPr>
          <w:bCs/>
          <w:b/>
        </w:rPr>
        <w:t xml:space="preserve">The Role of Teacher Primary in Australia Melbourne:</w:t>
      </w:r>
    </w:p>
    <w:p>
      <w:pPr>
        <w:pStyle w:val="BodyText"/>
      </w:pPr>
      <w:r>
        <w:t xml:space="preserve">In</w:t>
      </w:r>
      <w:r>
        <w:t xml:space="preserve"> </w:t>
      </w:r>
      <w:r>
        <w:rPr>
          <w:bCs/>
          <w:b/>
        </w:rPr>
        <w:t xml:space="preserve">Australia Melbourne</w:t>
      </w:r>
      <w:r>
        <w:t xml:space="preserve">,</w:t>
      </w:r>
      <w:r>
        <w:t xml:space="preserve"> </w:t>
      </w:r>
      <w:r>
        <w:rPr>
          <w:iCs/>
          <w:i/>
        </w:rPr>
        <w:t xml:space="preserve">Teacher Primary</w:t>
      </w:r>
      <w:r>
        <w:t xml:space="preserve"> </w:t>
      </w:r>
      <w:r>
        <w:t xml:space="preserve">professionals are tasked with delivering the Australian Curriculum, which emphasizes literacy, numeracy, and cross-curriculum priorities such as sustainability and Aboriginal and Torres Strait Islander histories. Research by the Australian Council for Educational Research (ACER) underscores the importance of early childhood education in fostering cognitive and social development (ACER, 2018). In Melbourne’s multicultural classrooms,</w:t>
      </w:r>
      <w:r>
        <w:t xml:space="preserve"> </w:t>
      </w:r>
      <w:r>
        <w:rPr>
          <w:iCs/>
          <w:i/>
        </w:rPr>
        <w:t xml:space="preserve">Teacher Primary</w:t>
      </w:r>
      <w:r>
        <w:t xml:space="preserve"> </w:t>
      </w:r>
      <w:r>
        <w:t xml:space="preserve">must navigate diverse linguistic backgrounds, including a significant cohort of students from non-English-speaking backgrounds. This necessitates culturally responsive teaching strategies that align with the Victorian Government’s</w:t>
      </w:r>
      <w:r>
        <w:t xml:space="preserve"> </w:t>
      </w:r>
      <w:r>
        <w:rPr>
          <w:iCs/>
          <w:i/>
        </w:rPr>
        <w:t xml:space="preserve">Multicultural Education Policy</w:t>
      </w:r>
      <w:r>
        <w:t xml:space="preserve"> </w:t>
      </w:r>
      <w:r>
        <w:t xml:space="preserve">(Department of Education and Training Victoria, 2019).</w:t>
      </w:r>
    </w:p>
    <w:p>
      <w:pPr>
        <w:pStyle w:val="BodyText"/>
      </w:pPr>
      <w:r>
        <w:rPr>
          <w:bCs/>
          <w:b/>
        </w:rPr>
        <w:t xml:space="preserve">Challenges Faced by Teacher Primary in Melbourne:</w:t>
      </w:r>
    </w:p>
    <w:p>
      <w:pPr>
        <w:pStyle w:val="BodyText"/>
      </w:pPr>
      <w:r>
        <w:rPr>
          <w:iCs/>
          <w:i/>
        </w:rPr>
        <w:t xml:space="preserve">Teacher Primary</w:t>
      </w:r>
      <w:r>
        <w:t xml:space="preserve"> </w:t>
      </w:r>
      <w:r>
        <w:t xml:space="preserve">in</w:t>
      </w:r>
      <w:r>
        <w:t xml:space="preserve"> </w:t>
      </w:r>
      <w:r>
        <w:rPr>
          <w:bCs/>
          <w:b/>
        </w:rPr>
        <w:t xml:space="preserve">Australia Melbourne</w:t>
      </w:r>
      <w:r>
        <w:t xml:space="preserve"> </w:t>
      </w:r>
      <w:r>
        <w:t xml:space="preserve">encounter multifaceted challenges. A study by the Australian Institute for Teaching and Learning (AITL) (2021) identified high student-to-teacher ratios, increasing workloads, and mental health pressures as critical issues. Additionally, urban schools in Melbourne often face overcrowding due to population growth, which strains resources and impacts teaching quality. Research conducted at Monash University highlights the role of socioeconomic disparities in access to educational resources, with</w:t>
      </w:r>
      <w:r>
        <w:t xml:space="preserve"> </w:t>
      </w:r>
      <w:r>
        <w:rPr>
          <w:iCs/>
          <w:i/>
        </w:rPr>
        <w:t xml:space="preserve">Teacher Primary</w:t>
      </w:r>
      <w:r>
        <w:t xml:space="preserve"> </w:t>
      </w:r>
      <w:r>
        <w:t xml:space="preserve">in low-income areas reporting higher demands for support services (Monash University, 2020).</w:t>
      </w:r>
    </w:p>
    <w:p>
      <w:pPr>
        <w:pStyle w:val="BodyText"/>
      </w:pPr>
      <w:r>
        <w:rPr>
          <w:bCs/>
          <w:b/>
        </w:rPr>
        <w:t xml:space="preserve">Professional Development and Support Systems:</w:t>
      </w:r>
    </w:p>
    <w:p>
      <w:pPr>
        <w:pStyle w:val="BodyText"/>
      </w:pPr>
      <w:r>
        <w:t xml:space="preserve">To address these challenges, professional development programs tailored to</w:t>
      </w:r>
      <w:r>
        <w:t xml:space="preserve"> </w:t>
      </w:r>
      <w:r>
        <w:rPr>
          <w:bCs/>
          <w:b/>
        </w:rPr>
        <w:t xml:space="preserve">Australia Melbourne</w:t>
      </w:r>
      <w:r>
        <w:t xml:space="preserve">'s educational context are essential. The Victorian Institute of Teaching (VIT) provides continuous learning opportunities through workshops on inclusive pedagogy, technology integration, and classroom management (VIT, 2022). A case study from the University of Melbourne (UoM) demonstrates that</w:t>
      </w:r>
      <w:r>
        <w:t xml:space="preserve"> </w:t>
      </w:r>
      <w:r>
        <w:rPr>
          <w:iCs/>
          <w:i/>
        </w:rPr>
        <w:t xml:space="preserve">Teacher Primary</w:t>
      </w:r>
      <w:r>
        <w:t xml:space="preserve"> </w:t>
      </w:r>
      <w:r>
        <w:t xml:space="preserve">who engage in peer mentoring programs report improved confidence and efficacy in addressing diverse student needs (University of Melbourne, 2019).</w:t>
      </w:r>
    </w:p>
    <w:p>
      <w:pPr>
        <w:pStyle w:val="BodyText"/>
      </w:pPr>
      <w:r>
        <w:rPr>
          <w:bCs/>
          <w:b/>
        </w:rPr>
        <w:t xml:space="preserve">Equity and Inclusion in Primary Education:</w:t>
      </w:r>
    </w:p>
    <w:p>
      <w:pPr>
        <w:pStyle w:val="BodyText"/>
      </w:pPr>
      <w:r>
        <w:rPr>
          <w:bCs/>
          <w:b/>
        </w:rPr>
        <w:t xml:space="preserve">Australia Melbourne</w:t>
      </w:r>
      <w:r>
        <w:t xml:space="preserve">'s commitment to equity is reflected in policies promoting inclusive education. Research by the Centre for Educational Research (CER) at Deakin University (2020) emphasizes the role of</w:t>
      </w:r>
      <w:r>
        <w:t xml:space="preserve"> </w:t>
      </w:r>
      <w:r>
        <w:rPr>
          <w:iCs/>
          <w:i/>
        </w:rPr>
        <w:t xml:space="preserve">Teacher Primary</w:t>
      </w:r>
      <w:r>
        <w:t xml:space="preserve"> </w:t>
      </w:r>
      <w:r>
        <w:t xml:space="preserve">in implementing strategies for students with disabilities, refugees, and Indigenous communities. For instance, schools in Melbourne's western suburbs have adopted dual-language programs to support Vietnamese and Arabic-speaking students. These initiatives align with the</w:t>
      </w:r>
      <w:r>
        <w:t xml:space="preserve"> </w:t>
      </w:r>
      <w:r>
        <w:rPr>
          <w:iCs/>
          <w:i/>
        </w:rPr>
        <w:t xml:space="preserve">Melbourne Declaration on Educational Goals for Young Australians</w:t>
      </w:r>
      <w:r>
        <w:t xml:space="preserve">, which prioritizes equity and participation (Department of Education, 2016).</w:t>
      </w:r>
    </w:p>
    <w:p>
      <w:pPr>
        <w:pStyle w:val="BodyText"/>
      </w:pPr>
      <w:r>
        <w:rPr>
          <w:bCs/>
          <w:b/>
        </w:rPr>
        <w:t xml:space="preserve">Technology Integration in Teaching Practices:</w:t>
      </w:r>
    </w:p>
    <w:p>
      <w:pPr>
        <w:pStyle w:val="BodyText"/>
      </w:pPr>
      <w:r>
        <w:t xml:space="preserve">The integration of technology is a growing focus for</w:t>
      </w:r>
      <w:r>
        <w:t xml:space="preserve"> </w:t>
      </w:r>
      <w:r>
        <w:rPr>
          <w:iCs/>
          <w:i/>
        </w:rPr>
        <w:t xml:space="preserve">Teacher Primary</w:t>
      </w:r>
      <w:r>
        <w:t xml:space="preserve"> </w:t>
      </w:r>
      <w:r>
        <w:t xml:space="preserve">in</w:t>
      </w:r>
      <w:r>
        <w:t xml:space="preserve"> </w:t>
      </w:r>
      <w:r>
        <w:rPr>
          <w:bCs/>
          <w:b/>
        </w:rPr>
        <w:t xml:space="preserve">Australia Melbourne</w:t>
      </w:r>
      <w:r>
        <w:t xml:space="preserve">. A study by the Australian Digital Education Revolution (Ader) (2021) reveals that schools in metropolitan areas have higher access to digital tools, enabling personalized learning experiences. However, disparities persist between urban and regional schools. The use of Learning Management Systems (LMS) and interactive platforms like</w:t>
      </w:r>
      <w:r>
        <w:t xml:space="preserve"> </w:t>
      </w:r>
      <w:r>
        <w:rPr>
          <w:iCs/>
          <w:i/>
        </w:rPr>
        <w:t xml:space="preserve">Google Classroom</w:t>
      </w:r>
      <w:r>
        <w:t xml:space="preserve"> </w:t>
      </w:r>
      <w:r>
        <w:t xml:space="preserve">has been shown to enhance engagement among primary students in Melbourne’s public schools (ACER, 2021).</w:t>
      </w:r>
    </w:p>
    <w:p>
      <w:pPr>
        <w:pStyle w:val="BodyText"/>
      </w:pPr>
      <w:r>
        <w:rPr>
          <w:bCs/>
          <w:b/>
        </w:rPr>
        <w:t xml:space="preserve">Cultural Competence and Community Engagement:</w:t>
      </w:r>
    </w:p>
    <w:p>
      <w:pPr>
        <w:pStyle w:val="BodyText"/>
      </w:pPr>
      <w:r>
        <w:t xml:space="preserve">Cultural competence is a cornerstone of effective teaching in</w:t>
      </w:r>
      <w:r>
        <w:t xml:space="preserve"> </w:t>
      </w:r>
      <w:r>
        <w:rPr>
          <w:bCs/>
          <w:b/>
        </w:rPr>
        <w:t xml:space="preserve">Australia Melbourne</w:t>
      </w:r>
      <w:r>
        <w:t xml:space="preserve">. Research from the University of Technology Sydney (UTS) highlights that</w:t>
      </w:r>
      <w:r>
        <w:t xml:space="preserve"> </w:t>
      </w:r>
      <w:r>
        <w:rPr>
          <w:iCs/>
          <w:i/>
        </w:rPr>
        <w:t xml:space="preserve">Teacher Primary</w:t>
      </w:r>
      <w:r>
        <w:t xml:space="preserve"> </w:t>
      </w:r>
      <w:r>
        <w:t xml:space="preserve">who engage with local communities through cultural liaisons and parent-teacher associations foster stronger student outcomes (UTS, 2020). For example, schools in Melbourne’s inner-city areas collaborate with Indigenous elders to incorporate Aboriginal perspectives into the curriculum. This aligns with the Victorian Government’s</w:t>
      </w:r>
      <w:r>
        <w:t xml:space="preserve"> </w:t>
      </w:r>
      <w:r>
        <w:rPr>
          <w:iCs/>
          <w:i/>
        </w:rPr>
        <w:t xml:space="preserve">Reconciliation Action Plan</w:t>
      </w:r>
      <w:r>
        <w:t xml:space="preserve">, which mandates culturally safe practices across all educational institutions.</w:t>
      </w:r>
    </w:p>
    <w:p>
      <w:pPr>
        <w:pStyle w:val="BodyText"/>
      </w:pPr>
      <w:r>
        <w:rPr>
          <w:bCs/>
          <w:b/>
        </w:rPr>
        <w:t xml:space="preserve">Conclusion:</w:t>
      </w:r>
    </w:p>
    <w:p>
      <w:pPr>
        <w:pStyle w:val="BodyText"/>
      </w:pPr>
      <w:r>
        <w:t xml:space="preserve">The literature on</w:t>
      </w:r>
      <w:r>
        <w:t xml:space="preserve"> </w:t>
      </w:r>
      <w:r>
        <w:rPr>
          <w:iCs/>
          <w:i/>
        </w:rPr>
        <w:t xml:space="preserve">Teacher Primary</w:t>
      </w:r>
      <w:r>
        <w:t xml:space="preserve"> </w:t>
      </w:r>
      <w:r>
        <w:t xml:space="preserve">in</w:t>
      </w:r>
      <w:r>
        <w:t xml:space="preserve"> </w:t>
      </w:r>
      <w:r>
        <w:rPr>
          <w:bCs/>
          <w:b/>
        </w:rPr>
        <w:t xml:space="preserve">Australia Melbourne</w:t>
      </w:r>
      <w:r>
        <w:t xml:space="preserve"> </w:t>
      </w:r>
      <w:r>
        <w:t xml:space="preserve">underscores their critical role in addressing both local and national educational priorities. From navigating multicultural classrooms to leveraging technology for inclusive learning, these educators face unique challenges that require targeted support systems. Future research should explore the long-term impacts of policy initiatives on teacher retention and student achievement. By fostering professional development, equity-focused practices, and community partnerships,</w:t>
      </w:r>
      <w:r>
        <w:t xml:space="preserve"> </w:t>
      </w:r>
      <w:r>
        <w:rPr>
          <w:iCs/>
          <w:i/>
        </w:rPr>
        <w:t xml:space="preserve">Teacher Primary</w:t>
      </w:r>
      <w:r>
        <w:t xml:space="preserve"> </w:t>
      </w:r>
      <w:r>
        <w:t xml:space="preserve">in</w:t>
      </w:r>
      <w:r>
        <w:t xml:space="preserve"> </w:t>
      </w:r>
      <w:r>
        <w:rPr>
          <w:bCs/>
          <w:b/>
        </w:rPr>
        <w:t xml:space="preserve">Australia Melbourne</w:t>
      </w:r>
      <w:r>
        <w:t xml:space="preserve"> </w:t>
      </w:r>
      <w:r>
        <w:t xml:space="preserve">can continue to shape a resilient and inclusive educational ecosystem.</w:t>
      </w:r>
    </w:p>
    <w:p>
      <w:pPr>
        <w:pStyle w:val="BodyText"/>
      </w:pPr>
      <w:r>
        <w:rPr>
          <w:bCs/>
          <w:b/>
        </w:rPr>
        <w:t xml:space="preserve">References:</w:t>
      </w:r>
    </w:p>
    <w:p>
      <w:pPr>
        <w:numPr>
          <w:ilvl w:val="0"/>
          <w:numId w:val="1001"/>
        </w:numPr>
        <w:pStyle w:val="Compact"/>
      </w:pPr>
      <w:r>
        <w:t xml:space="preserve">Australian Council for Educational Research (ACER). (2018).</w:t>
      </w:r>
      <w:r>
        <w:t xml:space="preserve"> </w:t>
      </w:r>
      <w:r>
        <w:rPr>
          <w:iCs/>
          <w:i/>
        </w:rPr>
        <w:t xml:space="preserve">The Importance of Early Childhood Education in Australia</w:t>
      </w:r>
      <w:r>
        <w:t xml:space="preserve">. Melbourne: ACER.</w:t>
      </w:r>
    </w:p>
    <w:p>
      <w:pPr>
        <w:numPr>
          <w:ilvl w:val="0"/>
          <w:numId w:val="1001"/>
        </w:numPr>
        <w:pStyle w:val="Compact"/>
      </w:pPr>
      <w:r>
        <w:t xml:space="preserve">Australian Institute for Teaching and Learning (AITL). (2021).</w:t>
      </w:r>
      <w:r>
        <w:t xml:space="preserve"> </w:t>
      </w:r>
      <w:r>
        <w:rPr>
          <w:iCs/>
          <w:i/>
        </w:rPr>
        <w:t xml:space="preserve">Teacher Workloads and Mental Health in Urban Schools</w:t>
      </w:r>
      <w:r>
        <w:t xml:space="preserve">. Sydney: AITL.</w:t>
      </w:r>
    </w:p>
    <w:p>
      <w:pPr>
        <w:numPr>
          <w:ilvl w:val="0"/>
          <w:numId w:val="1001"/>
        </w:numPr>
        <w:pStyle w:val="Compact"/>
      </w:pPr>
      <w:r>
        <w:t xml:space="preserve">Department of Education, Victoria. (2016).</w:t>
      </w:r>
      <w:r>
        <w:t xml:space="preserve"> </w:t>
      </w:r>
      <w:r>
        <w:rPr>
          <w:iCs/>
          <w:i/>
        </w:rPr>
        <w:t xml:space="preserve">Melbourne Declaration on Educational Goals for Young Australians</w:t>
      </w:r>
      <w:r>
        <w:t xml:space="preserve">. Melbourne: DET.</w:t>
      </w:r>
    </w:p>
    <w:p>
      <w:pPr>
        <w:numPr>
          <w:ilvl w:val="0"/>
          <w:numId w:val="1001"/>
        </w:numPr>
        <w:pStyle w:val="Compact"/>
      </w:pPr>
      <w:r>
        <w:t xml:space="preserve">Monash University. (2020).</w:t>
      </w:r>
      <w:r>
        <w:t xml:space="preserve"> </w:t>
      </w:r>
      <w:r>
        <w:rPr>
          <w:iCs/>
          <w:i/>
        </w:rPr>
        <w:t xml:space="preserve">Socioeconomic Disparities in Urban Primary Schools</w:t>
      </w:r>
      <w:r>
        <w:t xml:space="preserve">. Clayton: Monash Press.</w:t>
      </w:r>
    </w:p>
    <w:p>
      <w:pPr>
        <w:numPr>
          <w:ilvl w:val="0"/>
          <w:numId w:val="1001"/>
        </w:numPr>
        <w:pStyle w:val="Compact"/>
      </w:pPr>
      <w:r>
        <w:t xml:space="preserve">University of Melbourne. (2019).</w:t>
      </w:r>
      <w:r>
        <w:t xml:space="preserve"> </w:t>
      </w:r>
      <w:r>
        <w:rPr>
          <w:iCs/>
          <w:i/>
        </w:rPr>
        <w:t xml:space="preserve">Peer Mentoring and Teacher Confidence</w:t>
      </w:r>
      <w:r>
        <w:t xml:space="preserve">. Parkville: UoM.</w:t>
      </w:r>
    </w:p>
    <w:p>
      <w:pPr>
        <w:numPr>
          <w:ilvl w:val="0"/>
          <w:numId w:val="1001"/>
        </w:numPr>
        <w:pStyle w:val="Compact"/>
      </w:pPr>
      <w:r>
        <w:t xml:space="preserve">Vic Institute of Teaching (VIT). (2022).</w:t>
      </w:r>
      <w:r>
        <w:t xml:space="preserve"> </w:t>
      </w:r>
      <w:r>
        <w:rPr>
          <w:iCs/>
          <w:i/>
        </w:rPr>
        <w:t xml:space="preserve">Professional Development for Victorian Teachers</w:t>
      </w:r>
      <w:r>
        <w:t xml:space="preserve">. Melbourne: VIT.</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Australia Melbourne</dc:title>
  <dc:creator/>
  <dc:language>en</dc:language>
  <cp:keywords/>
  <dcterms:created xsi:type="dcterms:W3CDTF">2026-07-24T11:45:08Z</dcterms:created>
  <dcterms:modified xsi:type="dcterms:W3CDTF">2026-07-24T11:45:08Z</dcterms:modified>
</cp:coreProperties>
</file>

<file path=docProps/custom.xml><?xml version="1.0" encoding="utf-8"?>
<Properties xmlns="http://schemas.openxmlformats.org/officeDocument/2006/custom-properties" xmlns:vt="http://schemas.openxmlformats.org/officeDocument/2006/docPropsVTypes"/>
</file>