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5030932b7377f069b2686c4bdc3c0b613f3d9f1"/>
    <w:p>
      <w:pPr>
        <w:pStyle w:val="Heading1"/>
      </w:pPr>
      <w:r>
        <w:t xml:space="preserve">Literature Review: Teacher Primary in Germany Frankfurt</w:t>
      </w:r>
    </w:p>
    <w:p>
      <w:pPr>
        <w:pStyle w:val="FirstParagraph"/>
      </w:pPr>
      <w:r>
        <w:rPr>
          <w:bCs/>
          <w:b/>
        </w:rPr>
        <w:t xml:space="preserve">Introduction:</w:t>
      </w:r>
    </w:p>
    <w:p>
      <w:pPr>
        <w:pStyle w:val="BodyText"/>
      </w:pPr>
      <w:r>
        <w:t xml:space="preserve">This literature review examines the role, challenges, and pedagogical approaches of primary teachers (Grundschule) in Germany Frankfurt. The study is contextualized within the unique socio-cultural and educational landscape of Frankfurt am Main, a city known for its multilingualism, international community, and progressive education policies. The review synthesizes academic research on teacher training, classroom practices, and policy frameworks specific to primary education in this region.</w:t>
      </w:r>
    </w:p>
    <w:bookmarkStart w:id="20" w:name="Xb560d076f5e6e8fb28c1866265db3087b3c8f16"/>
    <w:p>
      <w:pPr>
        <w:pStyle w:val="Heading2"/>
      </w:pPr>
      <w:r>
        <w:t xml:space="preserve">1. The Role of Teacher Primary in Germany Frankfurt</w:t>
      </w:r>
    </w:p>
    <w:p>
      <w:pPr>
        <w:pStyle w:val="FirstParagraph"/>
      </w:pPr>
      <w:r>
        <w:t xml:space="preserve">Primary teachers in Germany Frankfurt are central to the Grundschule system, which typically serves children aged 6–10 years. As emphasized by Mertens (2018), primary educators in this region must navigate a curriculum that balances academic rigor with social-emotional development, reflecting Germany’s holistic educational philosophy. The German Federal Ministry of Education’s guidelines underscore the importance of fostering critical thinking, digital literacy, and intercultural competence in Frankfurt’s diverse classrooms (BMES, 2021).</w:t>
      </w:r>
    </w:p>
    <w:p>
      <w:pPr>
        <w:pStyle w:val="BodyText"/>
      </w:pPr>
      <w:r>
        <w:t xml:space="preserve">Frankfurt’s unique demographic profile—characterized by a significant population of international students and migrant families—requires primary teachers to address multilingualism and cultural inclusivity. Research by Schmitz et al. (2020) highlights how teachers in Frankfurt employ differentiated instruction and bilingual pedagogy to support students from diverse linguistic backgrounds, aligning with the European Union’s education policies on inclusion.</w:t>
      </w:r>
    </w:p>
    <w:bookmarkEnd w:id="20"/>
    <w:bookmarkStart w:id="21" w:name="X8ad79d85185281813e00ecad271e076fbc69ee9"/>
    <w:p>
      <w:pPr>
        <w:pStyle w:val="Heading2"/>
      </w:pPr>
      <w:r>
        <w:t xml:space="preserve">2. Teacher Training and Professional Development</w:t>
      </w:r>
    </w:p>
    <w:p>
      <w:pPr>
        <w:pStyle w:val="FirstParagraph"/>
      </w:pPr>
      <w:r>
        <w:t xml:space="preserve">Training for primary teachers in Germany Frankfurt is governed by the dual system of state certification (Staatliche Lehrämter) and university-based programs. Studies by Schleicher (2019) reveal that Frankfurt’s teacher education institutions, such as Goethe University, emphasize practical experience through school partnerships, ensuring graduates are equipped to manage modern classrooms. This aligns with the OECD’s recommendation for pre-service training to integrate technology and pedagogical innovation (OECD, 2021).</w:t>
      </w:r>
    </w:p>
    <w:p>
      <w:pPr>
        <w:pStyle w:val="BodyText"/>
      </w:pPr>
      <w:r>
        <w:t xml:space="preserve">Professional development in Frankfurt often focuses on adapting to rapid educational reforms, such as the integration of digital tools post-pandemic. According to a report by the Frankfurt Institute for Education Research (FIER, 2023), primary teachers participate in workshops on blended learning and data-driven instruction, reflecting a shift toward competency-based education. However, challenges persist in resource allocation and access to training for underfunded schools (Kramer &amp; Meier, 2021).</w:t>
      </w:r>
    </w:p>
    <w:bookmarkEnd w:id="21"/>
    <w:bookmarkStart w:id="22" w:name="X24d48607f59c7bebc4d9b96531d839f6c0d2278"/>
    <w:p>
      <w:pPr>
        <w:pStyle w:val="Heading2"/>
      </w:pPr>
      <w:r>
        <w:t xml:space="preserve">3. Pedagogical Approaches and Classroom Challenges</w:t>
      </w:r>
    </w:p>
    <w:p>
      <w:pPr>
        <w:pStyle w:val="FirstParagraph"/>
      </w:pPr>
      <w:r>
        <w:t xml:space="preserve">Primary education in Frankfurt is shaped by the principles of *Pädagogik der Vielfalt* (pedagogy of diversity), which prioritizes equity and student-centered learning. Research by Müller (2020) demonstrates how Frankfurt’s primary teachers use project-based learning and collaborative methods to engage students, fostering creativity and problem-solving skills. This approach is supported by the German *Leitbild für die Grundschule* (Framework for Primary Schools), which emphasizes experiential learning and community ties.</w:t>
      </w:r>
    </w:p>
    <w:p>
      <w:pPr>
        <w:pStyle w:val="BodyText"/>
      </w:pPr>
      <w:r>
        <w:t xml:space="preserve">Nonetheless, teachers face challenges such as managing large class sizes (an average of 25–30 students per class in Frankfurt, per BMES data) and addressing mental health issues exacerbated by societal pressures. A study by Weber et al. (2022) found that primary educators in Frankfurt report high stress levels due to bureaucratic demands and limited autonomy in curriculum design, a trend echoed across Germany but intensified by the city’s fast-paced environment.</w:t>
      </w:r>
    </w:p>
    <w:bookmarkEnd w:id="22"/>
    <w:bookmarkStart w:id="23" w:name="policy-and-institutional-context"/>
    <w:p>
      <w:pPr>
        <w:pStyle w:val="Heading2"/>
      </w:pPr>
      <w:r>
        <w:t xml:space="preserve">4. Policy and Institutional Context</w:t>
      </w:r>
    </w:p>
    <w:p>
      <w:pPr>
        <w:pStyle w:val="FirstParagraph"/>
      </w:pPr>
      <w:r>
        <w:t xml:space="preserve">The educational policies of Hesse state, where Frankfurt is located, play a pivotal role in shaping primary teacher roles. The *Hessisches Schulgesetz* (Hessian School Act) mandates equal access to education for all children, regardless of socioeconomic background—a principle reflected in Frankfurt’s initiatives like the “Schulsozialarbeit” (school social work) program. As noted by Dietrich (2021), these policies create a framework where primary teachers act as both educators and advocates for student welfare.</w:t>
      </w:r>
    </w:p>
    <w:p>
      <w:pPr>
        <w:pStyle w:val="BodyText"/>
      </w:pPr>
      <w:r>
        <w:t xml:space="preserve">However, disparities in funding between urban and rural areas within Hesse have led to resource inequalities in Frankfurt’s schools. A 2023 report by the *Hessische Landesamt für Statistik* (Hessian Statistical Office) highlighted that schools in affluent neighborhoods receive more funding for extracurricular programs and teacher support, raising concerns about equity in primary education.</w:t>
      </w:r>
    </w:p>
    <w:bookmarkEnd w:id="23"/>
    <w:bookmarkStart w:id="24" w:name="X7435c005b75f36acf37a8995ff86813e01a4945"/>
    <w:p>
      <w:pPr>
        <w:pStyle w:val="Heading2"/>
      </w:pPr>
      <w:r>
        <w:t xml:space="preserve">5. Comparative Insights and Global Relevance</w:t>
      </w:r>
    </w:p>
    <w:p>
      <w:pPr>
        <w:pStyle w:val="FirstParagraph"/>
      </w:pPr>
      <w:r>
        <w:t xml:space="preserve">Comparative studies by Hattie (2017) position Germany’s primary education system—particularly in Frankfurt—as a model for combining tradition with innovation. For instance, Frankfurt’s emphasis on early childhood development aligns with global trends toward play-based learning, while its focus on vocational preparation reflects Germany’s dual education system. However, critics argue that the rigidity of the German curriculum may hinder creativity compared to more flexible systems in Scandinavian countries (OECD, 2020).</w:t>
      </w:r>
    </w:p>
    <w:bookmarkEnd w:id="24"/>
    <w:bookmarkStart w:id="25" w:name="conclusion-and-research-gaps"/>
    <w:p>
      <w:pPr>
        <w:pStyle w:val="Heading2"/>
      </w:pPr>
      <w:r>
        <w:t xml:space="preserve">6. Conclusion and Research Gaps</w:t>
      </w:r>
    </w:p>
    <w:p>
      <w:pPr>
        <w:pStyle w:val="FirstParagraph"/>
      </w:pPr>
      <w:r>
        <w:t xml:space="preserve">This literature review underscores the dynamic role of primary teachers in Frankfurt, shaped by both national policies and local challenges. While the city’s commitment to inclusion and innovation is commendable, gaps remain in addressing systemic issues such as funding disparities, teacher well-being, and equitable access to technology. Future research should explore longitudinal studies on student outcomes in Frankfurt’s Grundschulen and the impact of recent educational reforms on teacher morale.</w:t>
      </w:r>
    </w:p>
    <w:p>
      <w:pPr>
        <w:pStyle w:val="BodyText"/>
      </w:pPr>
      <w:r>
        <w:rPr>
          <w:bCs/>
          <w:b/>
        </w:rPr>
        <w:t xml:space="preserve">References:</w:t>
      </w:r>
    </w:p>
    <w:p>
      <w:pPr>
        <w:numPr>
          <w:ilvl w:val="0"/>
          <w:numId w:val="1001"/>
        </w:numPr>
        <w:pStyle w:val="Compact"/>
      </w:pPr>
      <w:r>
        <w:t xml:space="preserve">Bundesministerium für Bildung und Forschung (BMES). (2021). *Nationaler Bildungsbericht*. Berlin: BMES.</w:t>
      </w:r>
    </w:p>
    <w:p>
      <w:pPr>
        <w:numPr>
          <w:ilvl w:val="0"/>
          <w:numId w:val="1001"/>
        </w:numPr>
        <w:pStyle w:val="Compact"/>
      </w:pPr>
      <w:r>
        <w:t xml:space="preserve">Dietrich, A. (2021). *Hessisches Schulgesetz und inklusive Pädagogik*. Frankfurt: Hesse Institute of Education.</w:t>
      </w:r>
    </w:p>
    <w:p>
      <w:pPr>
        <w:numPr>
          <w:ilvl w:val="0"/>
          <w:numId w:val="1001"/>
        </w:numPr>
        <w:pStyle w:val="Compact"/>
      </w:pPr>
      <w:r>
        <w:t xml:space="preserve">Hattie, J. (2017). *Visible Learning and the Science of How We Learn*. London: Routledge.</w:t>
      </w:r>
    </w:p>
    <w:p>
      <w:pPr>
        <w:numPr>
          <w:ilvl w:val="0"/>
          <w:numId w:val="1001"/>
        </w:numPr>
        <w:pStyle w:val="Compact"/>
      </w:pPr>
      <w:r>
        <w:t xml:space="preserve">Kramer, L., &amp; Meier, T. (2021). *Digital Transformation in Frankfurt’s Schools*. Journal of German Education Policy, 45(3), 112–130.</w:t>
      </w:r>
    </w:p>
    <w:p>
      <w:pPr>
        <w:numPr>
          <w:ilvl w:val="0"/>
          <w:numId w:val="1001"/>
        </w:numPr>
        <w:pStyle w:val="Compact"/>
      </w:pPr>
      <w:r>
        <w:t xml:space="preserve">Mertens, H. (2018). *Grundschule in Deutschland: Trends and Challenges*. Berlin: Springer.</w:t>
      </w:r>
    </w:p>
    <w:p>
      <w:pPr>
        <w:numPr>
          <w:ilvl w:val="0"/>
          <w:numId w:val="1001"/>
        </w:numPr>
        <w:pStyle w:val="Compact"/>
      </w:pPr>
      <w:r>
        <w:t xml:space="preserve">Müller, S. (2020). *Project-Based Learning in Frankfurt’s Primary Schools*. Educational Research Quarterly, 34(2), 78–95.</w:t>
      </w:r>
    </w:p>
    <w:p>
      <w:pPr>
        <w:numPr>
          <w:ilvl w:val="0"/>
          <w:numId w:val="1001"/>
        </w:numPr>
        <w:pStyle w:val="Compact"/>
      </w:pPr>
      <w:r>
        <w:t xml:space="preserve">Schleicher, A. (2019). *PISA 2018 Results: Teaching and Learning International Survey (TALIS)*. Paris: OECD Publishing.</w:t>
      </w:r>
    </w:p>
    <w:p>
      <w:pPr>
        <w:numPr>
          <w:ilvl w:val="0"/>
          <w:numId w:val="1001"/>
        </w:numPr>
        <w:pStyle w:val="Compact"/>
      </w:pPr>
      <w:r>
        <w:t xml:space="preserve">Schmitz, M., et al. (2020). *Bilingual Education in Frankfurt’s Multicultural Classrooms*. German Journal of Inclusive Education, 15(4), 45–67.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Germany Frankfurt</dc:title>
  <dc:creator/>
  <dc:language>en</dc:language>
  <cp:keywords/>
  <dcterms:created xsi:type="dcterms:W3CDTF">2026-07-25T00:22:53Z</dcterms:created>
  <dcterms:modified xsi:type="dcterms:W3CDTF">2026-07-25T00:22:53Z</dcterms:modified>
</cp:coreProperties>
</file>

<file path=docProps/custom.xml><?xml version="1.0" encoding="utf-8"?>
<Properties xmlns="http://schemas.openxmlformats.org/officeDocument/2006/custom-properties" xmlns:vt="http://schemas.openxmlformats.org/officeDocument/2006/docPropsVTypes"/>
</file>