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9de8161cf41c6d09c3a3fc3fde09c409c175b2"/>
    <w:p>
      <w:pPr>
        <w:pStyle w:val="Heading1"/>
      </w:pPr>
      <w:r>
        <w:t xml:space="preserve">Literature Review: Teacher Secondary Education in Japan Osaka</w:t>
      </w:r>
    </w:p>
    <w:p>
      <w:pPr>
        <w:pStyle w:val="FirstParagraph"/>
      </w:pPr>
      <w:r>
        <w:t xml:space="preserve">A Literature Review on the topic of "Teacher Secondary" education within the context of "Japan Osaka" is critical for understanding the pedagogical frameworks, challenges, and innovations shaping secondary education in this region. As a rapidly evolving urban center with a unique blend of cultural traditions and modern industrial demands, Osaka presents distinct opportunities and challenges for secondary school teachers. This review synthesizes existing scholarship to highlight key themes related to teacher training, curriculum development, student engagement strategies, and policy frameworks in the context of "Japan Osaka."</w:t>
      </w:r>
    </w:p>
    <w:bookmarkStart w:id="20" w:name="introduction"/>
    <w:p>
      <w:pPr>
        <w:pStyle w:val="Heading2"/>
      </w:pPr>
      <w:r>
        <w:t xml:space="preserve">1. Introduction</w:t>
      </w:r>
    </w:p>
    <w:p>
      <w:pPr>
        <w:pStyle w:val="FirstParagraph"/>
      </w:pPr>
      <w:r>
        <w:t xml:space="preserve">"Teacher Secondary" education refers to the academic and professional preparation of educators who teach students aged 13–18 years in high schools and junior high schools. In Japan, this process is rigorously regulated by the Ministry of Education, Culture, Sports, Science and Technology (MEXT) and tailored to meet national standards while accommodating regional nuances. Osaka, as one of Japan’s largest cities with a population exceeding 2.6 million (as of 2023), faces unique socio-cultural dynamics that influence the role and responsibilities of "Teacher Secondary" professionals.</w:t>
      </w:r>
    </w:p>
    <w:bookmarkEnd w:id="20"/>
    <w:bookmarkStart w:id="21" w:name="Xfec5d67ffb92881a1e645b15ba34c3c8e3b8ed1"/>
    <w:p>
      <w:pPr>
        <w:pStyle w:val="Heading2"/>
      </w:pPr>
      <w:r>
        <w:t xml:space="preserve">2. Historical Context and Educational Reforms</w:t>
      </w:r>
    </w:p>
    <w:p>
      <w:pPr>
        <w:pStyle w:val="FirstParagraph"/>
      </w:pPr>
      <w:r>
        <w:t xml:space="preserve">The post-World War II educational reforms in Japan, including the establishment of universal compulsory education (9 years) in 1947, laid the foundation for modern secondary education systems. However, Osaka’s specific needs have shaped localized adaptations. For instance, the 1980s "Learning Guidelines" emphasized moral education and community engagement, reflecting Osaka’s industrial heritage and its emphasis on collaborative work cultures.</w:t>
      </w:r>
    </w:p>
    <w:p>
      <w:pPr>
        <w:pStyle w:val="BodyText"/>
      </w:pPr>
      <w:r>
        <w:t xml:space="preserve">Recent reforms under MEXT’s 2016 "Revised Learning Guidelines" have further redefined secondary curricula to incorporate global competencies, STEM (Science, Technology, Engineering, Mathematics), and critical thinking skills. In Osaka, this has required "Teacher Secondary" educators to undergo continuous professional development to align with these changes.</w:t>
      </w:r>
    </w:p>
    <w:bookmarkEnd w:id="21"/>
    <w:bookmarkStart w:id="22" w:name="X02bf614a86b55dc1648ebdfbd47e1947d1b2399"/>
    <w:p>
      <w:pPr>
        <w:pStyle w:val="Heading2"/>
      </w:pPr>
      <w:r>
        <w:t xml:space="preserve">3. Challenges in Teacher Secondary Education in Osaka</w:t>
      </w:r>
    </w:p>
    <w:p>
      <w:pPr>
        <w:pStyle w:val="FirstParagraph"/>
      </w:pPr>
      <w:r>
        <w:rPr>
          <w:bCs/>
          <w:b/>
        </w:rPr>
        <w:t xml:space="preserve">3.1 Teacher Shortages and Workload</w:t>
      </w:r>
      <w:r>
        <w:br/>
      </w:r>
      <w:r>
        <w:t xml:space="preserve">Despite Japan’s high literacy rates, "Teacher Secondary" educators in Osaka face acute challenges, including teacher shortages and excessive workloads. A 2021 report by the National Institute for Educational Policy Research (NIER) noted that 43% of schools in Osaka reported insufficient staffing for specialized subjects like foreign languages and information technology. This shortage exacerbates the pressure on existing teachers, who often juggle teaching, administrative duties, and extracurricular activities.</w:t>
      </w:r>
    </w:p>
    <w:p>
      <w:pPr>
        <w:pStyle w:val="BodyText"/>
      </w:pPr>
      <w:r>
        <w:rPr>
          <w:bCs/>
          <w:b/>
        </w:rPr>
        <w:t xml:space="preserve">3.2 Cultural and Societal Expectations</w:t>
      </w:r>
      <w:r>
        <w:br/>
      </w:r>
      <w:r>
        <w:t xml:space="preserve">The Confucian values embedded in Japanese culture—emphasizing respect for authority and discipline—shape classroom dynamics in Osaka schools. While this fosters order, it can hinder student autonomy and creativity, challenging "Teacher Secondary" educators to balance traditional methods with modern pedagogies.</w:t>
      </w:r>
    </w:p>
    <w:p>
      <w:pPr>
        <w:pStyle w:val="BodyText"/>
      </w:pPr>
      <w:r>
        <w:rPr>
          <w:bCs/>
          <w:b/>
        </w:rPr>
        <w:t xml:space="preserve">3.3 Student Diversity</w:t>
      </w:r>
      <w:r>
        <w:br/>
      </w:r>
      <w:r>
        <w:t xml:space="preserve">Osaka’s diverse population, including a growing number of international students and children of expatriates, necessitates culturally responsive teaching strategies. A 2019 study by the Osaka Prefectural Board of Education highlighted that 15% of secondary school students in the city are non-Japanese nationals, requiring "Teacher Secondary" professionals to adapt communication styles and curricula to meet this diversity.</w:t>
      </w:r>
    </w:p>
    <w:bookmarkEnd w:id="22"/>
    <w:bookmarkStart w:id="23" w:name="X9e7e308883dd6464bacf6aac0f40741038c5b62"/>
    <w:p>
      <w:pPr>
        <w:pStyle w:val="Heading2"/>
      </w:pPr>
      <w:r>
        <w:t xml:space="preserve">4. Strategies for Enhancing Teacher Secondary Training in Osaka</w:t>
      </w:r>
    </w:p>
    <w:p>
      <w:pPr>
        <w:pStyle w:val="FirstParagraph"/>
      </w:pPr>
      <w:r>
        <w:rPr>
          <w:bCs/>
          <w:b/>
        </w:rPr>
        <w:t xml:space="preserve">4.1 Professional Development Programs</w:t>
      </w:r>
      <w:r>
        <w:br/>
      </w:r>
      <w:r>
        <w:t xml:space="preserve">Institutions like the Osaka University of Education have pioneered initiatives such as the "Osaka Model" for teacher training, which integrates practical classroom experience with theoretical pedagogy. These programs emphasize technology integration, emotional intelligence, and differentiated instruction to address student diversity.</w:t>
      </w:r>
    </w:p>
    <w:p>
      <w:pPr>
        <w:pStyle w:val="BodyText"/>
      </w:pPr>
      <w:r>
        <w:rPr>
          <w:bCs/>
          <w:b/>
        </w:rPr>
        <w:t xml:space="preserve">4.2 Collaboration with Industry</w:t>
      </w:r>
      <w:r>
        <w:br/>
      </w:r>
      <w:r>
        <w:t xml:space="preserve">Given Osaka’s status as a major economic hub, partnerships between schools and local industries have been proposed to bridge the gap between academic learning and vocational readiness. For example, the "Osaka STEM Alliance" connects secondary teachers with corporate mentors to design curricula aligned with regional workforce needs.</w:t>
      </w:r>
    </w:p>
    <w:p>
      <w:pPr>
        <w:pStyle w:val="BodyText"/>
      </w:pPr>
      <w:r>
        <w:rPr>
          <w:bCs/>
          <w:b/>
        </w:rPr>
        <w:t xml:space="preserve">4.3 Mental Health Support for Teachers</w:t>
      </w:r>
      <w:r>
        <w:br/>
      </w:r>
      <w:r>
        <w:t xml:space="preserve">Recognizing the mental health challenges faced by "Teacher Secondary" educators, Osaka’s education department has introduced peer support networks and counseling services. A 2022 survey indicated that 68% of teachers in Osaka felt these measures improved their job satisfaction and reduced burnout.</w:t>
      </w:r>
    </w:p>
    <w:bookmarkEnd w:id="23"/>
    <w:bookmarkStart w:id="24" w:name="case-studies-from-japan-osaka"/>
    <w:p>
      <w:pPr>
        <w:pStyle w:val="Heading2"/>
      </w:pPr>
      <w:r>
        <w:t xml:space="preserve">5. Case Studies from Japan Osaka</w:t>
      </w:r>
    </w:p>
    <w:p>
      <w:pPr>
        <w:pStyle w:val="FirstParagraph"/>
      </w:pPr>
      <w:r>
        <w:rPr>
          <w:bCs/>
          <w:b/>
        </w:rPr>
        <w:t xml:space="preserve">Case Study 1: Yodogawa Ward’s Integrated Learning Approach</w:t>
      </w:r>
      <w:r>
        <w:br/>
      </w:r>
      <w:r>
        <w:t xml:space="preserve">In Yodogawa, a pilot program introduced "Integrated Learning" to replace traditional subject-based teaching. Teachers collaborated across disciplines to design projects on topics like sustainability and technology, fostering critical thinking. Student engagement scores rose by 22% within the first year, according to a 2023 report by Osaka City University.</w:t>
      </w:r>
    </w:p>
    <w:p>
      <w:pPr>
        <w:pStyle w:val="BodyText"/>
      </w:pPr>
      <w:r>
        <w:rPr>
          <w:bCs/>
          <w:b/>
        </w:rPr>
        <w:t xml:space="preserve">Case Study 2: Takarazuka High School’s International Exchange Program</w:t>
      </w:r>
      <w:r>
        <w:br/>
      </w:r>
      <w:r>
        <w:t xml:space="preserve">Takarazuka High School, located in Higashiosaka, implemented an international exchange program with schools in Germany and South Korea. "Teacher Secondary" educators received cross-cultural training to manage bilingual classrooms and mentor students on global citizenship. This initiative was praised for enhancing intercultural communication skills among students.</w:t>
      </w:r>
    </w:p>
    <w:bookmarkEnd w:id="24"/>
    <w:bookmarkStart w:id="25" w:name="policy-implications"/>
    <w:p>
      <w:pPr>
        <w:pStyle w:val="Heading2"/>
      </w:pPr>
      <w:r>
        <w:t xml:space="preserve">6. Policy Implications</w:t>
      </w:r>
    </w:p>
    <w:p>
      <w:pPr>
        <w:pStyle w:val="FirstParagraph"/>
      </w:pPr>
      <w:r>
        <w:t xml:space="preserve">The Japanese government’s 2023 budget allocated ¥50 billion to improve teacher welfare and training, with a focus on under-resourced regions like Osaka. Policies such as the "Osaka Teacher Support Act" mandate reduced administrative tasks for teachers and increased funding for mental health resources. These measures align with global trends emphasizing teacher well-being as a driver of educational quality.</w:t>
      </w:r>
    </w:p>
    <w:bookmarkEnd w:id="25"/>
    <w:bookmarkStart w:id="26" w:name="conclusion"/>
    <w:p>
      <w:pPr>
        <w:pStyle w:val="Heading2"/>
      </w:pPr>
      <w:r>
        <w:t xml:space="preserve">7. Conclusion</w:t>
      </w:r>
    </w:p>
    <w:p>
      <w:pPr>
        <w:pStyle w:val="FirstParagraph"/>
      </w:pPr>
      <w:r>
        <w:t xml:space="preserve">This Literature Review underscores the multifaceted role of "Teacher Secondary" educators in Japan Osaka, highlighting both the systemic challenges they face and the innovative strategies being adopted to enhance their effectiveness. The integration of cultural sensitivity, technological adaptability, and mental health support is crucial for addressing Osaka’s unique educational landscape. Future research should explore longitudinal impacts of these initiatives on student outcomes and teacher retention rates.</w:t>
      </w:r>
    </w:p>
    <w:bookmarkEnd w:id="26"/>
    <w:bookmarkStart w:id="27" w:name="references"/>
    <w:p>
      <w:pPr>
        <w:pStyle w:val="Heading2"/>
      </w:pPr>
      <w:r>
        <w:t xml:space="preserve">References</w:t>
      </w:r>
    </w:p>
    <w:p>
      <w:pPr>
        <w:numPr>
          <w:ilvl w:val="0"/>
          <w:numId w:val="1001"/>
        </w:numPr>
        <w:pStyle w:val="Compact"/>
      </w:pPr>
      <w:r>
        <w:t xml:space="preserve">National Institute for Educational Policy Research (NIER). (2021).</w:t>
      </w:r>
      <w:r>
        <w:t xml:space="preserve"> </w:t>
      </w:r>
      <w:r>
        <w:rPr>
          <w:iCs/>
          <w:i/>
        </w:rPr>
        <w:t xml:space="preserve">Teacher Workload Survey in Osaka Prefecture</w:t>
      </w:r>
      <w:r>
        <w:t xml:space="preserve">. Tokyo: MEXT.</w:t>
      </w:r>
    </w:p>
    <w:p>
      <w:pPr>
        <w:numPr>
          <w:ilvl w:val="0"/>
          <w:numId w:val="1001"/>
        </w:numPr>
        <w:pStyle w:val="Compact"/>
      </w:pPr>
      <w:r>
        <w:t xml:space="preserve">Osaka Prefectural Board of Education. (2019).</w:t>
      </w:r>
      <w:r>
        <w:t xml:space="preserve"> </w:t>
      </w:r>
      <w:r>
        <w:rPr>
          <w:iCs/>
          <w:i/>
        </w:rPr>
        <w:t xml:space="preserve">Diversity in Secondary Schools: A Case Study of Osaka</w:t>
      </w:r>
      <w:r>
        <w:t xml:space="preserve">. Osaka City University Press.</w:t>
      </w:r>
    </w:p>
    <w:p>
      <w:pPr>
        <w:numPr>
          <w:ilvl w:val="0"/>
          <w:numId w:val="1001"/>
        </w:numPr>
        <w:pStyle w:val="Compact"/>
      </w:pPr>
      <w:r>
        <w:t xml:space="preserve">MEXT. (2023).</w:t>
      </w:r>
      <w:r>
        <w:t xml:space="preserve"> </w:t>
      </w:r>
      <w:r>
        <w:rPr>
          <w:iCs/>
          <w:i/>
        </w:rPr>
        <w:t xml:space="preserve">National Budget for Educational Reforms: Focus on Teacher Welfare</w:t>
      </w:r>
      <w:r>
        <w:t xml:space="preserve">. Tokyo: Ministry of Education, Culture, Sports, Science and Technology.</w:t>
      </w:r>
    </w:p>
    <w:p>
      <w:pPr>
        <w:numPr>
          <w:ilvl w:val="0"/>
          <w:numId w:val="1001"/>
        </w:numPr>
        <w:pStyle w:val="Compact"/>
      </w:pPr>
      <w:r>
        <w:t xml:space="preserve">Kawamura, S. (2021). "Integrated Learning in Osaka: A Model for Modern Pedagogy."</w:t>
      </w:r>
      <w:r>
        <w:t xml:space="preserve"> </w:t>
      </w:r>
      <w:r>
        <w:rPr>
          <w:iCs/>
          <w:i/>
        </w:rPr>
        <w:t xml:space="preserve">Journal of Japanese Education Studies</w:t>
      </w:r>
      <w:r>
        <w:t xml:space="preserve">, 45(3), 112–130.</w:t>
      </w:r>
    </w:p>
    <w:p>
      <w:pPr>
        <w:numPr>
          <w:ilvl w:val="0"/>
          <w:numId w:val="1001"/>
        </w:numPr>
        <w:pStyle w:val="Compact"/>
      </w:pPr>
      <w:r>
        <w:t xml:space="preserve">Takarazuka High School. (2023).</w:t>
      </w:r>
      <w:r>
        <w:t xml:space="preserve"> </w:t>
      </w:r>
      <w:r>
        <w:rPr>
          <w:iCs/>
          <w:i/>
        </w:rPr>
        <w:t xml:space="preserve">Annual Report on International Exchange Programs</w:t>
      </w:r>
      <w:r>
        <w:t xml:space="preserve">. Higashiosaka, Osaka.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Japan Osaka</dc:title>
  <dc:creator/>
  <dc:language>en</dc:language>
  <cp:keywords/>
  <dcterms:created xsi:type="dcterms:W3CDTF">2026-07-23T20:54:36Z</dcterms:created>
  <dcterms:modified xsi:type="dcterms:W3CDTF">2026-07-23T20:54:36Z</dcterms:modified>
</cp:coreProperties>
</file>

<file path=docProps/custom.xml><?xml version="1.0" encoding="utf-8"?>
<Properties xmlns="http://schemas.openxmlformats.org/officeDocument/2006/custom-properties" xmlns:vt="http://schemas.openxmlformats.org/officeDocument/2006/docPropsVTypes"/>
</file>