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a0119f69049d52d8f84ba715daef34f0f2a887a"/>
    <w:p>
      <w:pPr>
        <w:pStyle w:val="Heading1"/>
      </w:pPr>
      <w:r>
        <w:t xml:space="preserve">Literature Review: The Role of Translator Interpreter in Belgium Brussels</w:t>
      </w:r>
    </w:p>
    <w:p>
      <w:pPr>
        <w:pStyle w:val="FirstParagraph"/>
      </w:pPr>
      <w:r>
        <w:rPr>
          <w:bCs/>
          <w:b/>
        </w:rPr>
        <w:t xml:space="preserve">Introduction:</w:t>
      </w:r>
      <w:r>
        <w:t xml:space="preserve"> </w:t>
      </w:r>
      <w:r>
        <w:t xml:space="preserve">This Literature Review critically examines the role, challenges, and significance of translator-interpreter professionals within the multilingual context of Belgium Brussels. As a city characterized by its linguistic diversity—home to French, Dutch, German, and English speakers—Brussels presents unique demands on translation and interpretation services. The intersection of European Union (EU) institutions, international diplomacy, legal proceedings, and cultural exchange in this region necessitates a nuanced understanding of translator-interpreter practices. This review synthesizes academic research, policy documents, and case studies to explore how these professionals navigate the complexities of multilingual communication in Brussels.</w:t>
      </w:r>
    </w:p>
    <w:bookmarkStart w:id="20" w:name="X1db8032d83644223e3dca2b5a54c1cdac6d6f86"/>
    <w:p>
      <w:pPr>
        <w:pStyle w:val="Heading2"/>
      </w:pPr>
      <w:r>
        <w:t xml:space="preserve">1. Historical Context of Multilingualism in Belgium Brussels</w:t>
      </w:r>
    </w:p>
    <w:p>
      <w:pPr>
        <w:pStyle w:val="FirstParagraph"/>
      </w:pPr>
      <w:r>
        <w:t xml:space="preserve">Belgium’s linguistic duality—between French-speaking Wallonia and Dutch-speaking Flanders—has shaped the city’s identity as a political and administrative hub. The 1970s language reforms, which established official recognition for both French and Dutch, created a framework where translation services became indispensable. Brussels-Capital Region (Brussels-Capital) functions as the de facto capital of the EU, hosting institutions like the European Commission and European Parliament. This has amplified the demand for translator-interpreters who can bridge linguistic gaps in multilingual settings. Research by</w:t>
      </w:r>
      <w:r>
        <w:t xml:space="preserve"> </w:t>
      </w:r>
      <w:r>
        <w:rPr>
          <w:iCs/>
          <w:i/>
        </w:rPr>
        <w:t xml:space="preserve">Van Parijs (2013)</w:t>
      </w:r>
      <w:r>
        <w:t xml:space="preserve"> </w:t>
      </w:r>
      <w:r>
        <w:t xml:space="preserve">highlights how Brussels’ status as a “linguistic crossroads” necessitates professionals fluent in at least three languages, often including English and German.</w:t>
      </w:r>
    </w:p>
    <w:bookmarkEnd w:id="20"/>
    <w:bookmarkStart w:id="21" w:name="key-theoretical-frameworks"/>
    <w:p>
      <w:pPr>
        <w:pStyle w:val="Heading2"/>
      </w:pPr>
      <w:r>
        <w:t xml:space="preserve">2. Key Theoretical Frameworks</w:t>
      </w:r>
    </w:p>
    <w:p>
      <w:pPr>
        <w:pStyle w:val="FirstParagraph"/>
      </w:pPr>
      <w:r>
        <w:t xml:space="preserve">The literature on translator-interpreter studies often references frameworks such as the</w:t>
      </w:r>
      <w:r>
        <w:t xml:space="preserve"> </w:t>
      </w:r>
      <w:r>
        <w:rPr>
          <w:iCs/>
          <w:i/>
        </w:rPr>
        <w:t xml:space="preserve">Languaging Model</w:t>
      </w:r>
      <w:r>
        <w:t xml:space="preserve"> </w:t>
      </w:r>
      <w:r>
        <w:t xml:space="preserve">(Gile, 1995), which emphasizes the cognitive and communicative processes involved in interpreting. In Brussels, this model is particularly relevant due to the high stakes of diplomatic and legal translations. Studies like those by</w:t>
      </w:r>
      <w:r>
        <w:t xml:space="preserve"> </w:t>
      </w:r>
      <w:r>
        <w:rPr>
          <w:iCs/>
          <w:i/>
        </w:rPr>
        <w:t xml:space="preserve">Dubois (2018)</w:t>
      </w:r>
      <w:r>
        <w:t xml:space="preserve"> </w:t>
      </w:r>
      <w:r>
        <w:t xml:space="preserve">argue that interpreters in EU institutions must balance accuracy with cultural sensitivity, ensuring that nuances of intent are preserved across languages.</w:t>
      </w:r>
    </w:p>
    <w:p>
      <w:pPr>
        <w:pStyle w:val="BodyText"/>
      </w:pPr>
      <w:r>
        <w:t xml:space="preserve">Additionally, the</w:t>
      </w:r>
      <w:r>
        <w:t xml:space="preserve"> </w:t>
      </w:r>
      <w:r>
        <w:rPr>
          <w:iCs/>
          <w:i/>
        </w:rPr>
        <w:t xml:space="preserve">Lingua Franca Principle</w:t>
      </w:r>
      <w:r>
        <w:t xml:space="preserve">, which advocates for a shared language to facilitate communication (Heller, 2003), is frequently debated in Brussels. While English is often used as a lingua franca in international contexts, reliance on it raises concerns about marginalizing minority languages like Dutch and German. This tension underscores the need for skilled translator-interpreters who can navigate both dominant and marginalized languages effectively.</w:t>
      </w:r>
    </w:p>
    <w:bookmarkEnd w:id="21"/>
    <w:bookmarkStart w:id="22" w:name="Xa857b1e056e35c6844bd99290b5b153faa9448f"/>
    <w:p>
      <w:pPr>
        <w:pStyle w:val="Heading2"/>
      </w:pPr>
      <w:r>
        <w:t xml:space="preserve">3. Professional Competence and Ethical Considerations</w:t>
      </w:r>
    </w:p>
    <w:p>
      <w:pPr>
        <w:pStyle w:val="FirstParagraph"/>
      </w:pPr>
      <w:r>
        <w:t xml:space="preserve">Professional competence in Brussels requires not only linguistic proficiency but also domain-specific knowledge. For example, legal interpreters must understand EU law, while medical interpreters need familiarity with healthcare terminology in multiple languages.</w:t>
      </w:r>
      <w:r>
        <w:t xml:space="preserve"> </w:t>
      </w:r>
      <w:r>
        <w:rPr>
          <w:iCs/>
          <w:i/>
        </w:rPr>
        <w:t xml:space="preserve">Baker (2018)</w:t>
      </w:r>
      <w:r>
        <w:t xml:space="preserve"> </w:t>
      </w:r>
      <w:r>
        <w:t xml:space="preserve">notes that translator-interpreters in Brussels often undergo specialized training programs to address these requirements.</w:t>
      </w:r>
    </w:p>
    <w:p>
      <w:pPr>
        <w:pStyle w:val="BodyText"/>
      </w:pPr>
      <w:r>
        <w:t xml:space="preserve">Ethical challenges are also significant. Confidentiality, impartiality, and avoiding bias are critical in sensitive contexts such as asylum interviews or judicial proceedings. A study by</w:t>
      </w:r>
      <w:r>
        <w:t xml:space="preserve"> </w:t>
      </w:r>
      <w:r>
        <w:rPr>
          <w:iCs/>
          <w:i/>
        </w:rPr>
        <w:t xml:space="preserve">Van den Bossche (2020)</w:t>
      </w:r>
      <w:r>
        <w:t xml:space="preserve"> </w:t>
      </w:r>
      <w:r>
        <w:t xml:space="preserve">highlights cases where interpreters faced pressure from clients or institutions to alter translations, raising questions about professional integrity in Brussels.</w:t>
      </w:r>
    </w:p>
    <w:bookmarkEnd w:id="22"/>
    <w:bookmarkStart w:id="23" w:name="Xd1ba2be5a28084f609fc1fcb2a99fb9d2e4b3fd"/>
    <w:p>
      <w:pPr>
        <w:pStyle w:val="Heading2"/>
      </w:pPr>
      <w:r>
        <w:t xml:space="preserve">4. Technological Advancements and Their Impact</w:t>
      </w:r>
    </w:p>
    <w:p>
      <w:pPr>
        <w:pStyle w:val="FirstParagraph"/>
      </w:pPr>
      <w:r>
        <w:t xml:space="preserve">The rise of machine translation (MT) and artificial intelligence (AI) has transformed the field. Tools like Google Translate or DeepL are increasingly used as aids, though human oversight remains essential in high-stakes environments like Brussels.</w:t>
      </w:r>
      <w:r>
        <w:t xml:space="preserve"> </w:t>
      </w:r>
      <w:r>
        <w:rPr>
          <w:iCs/>
          <w:i/>
        </w:rPr>
        <w:t xml:space="preserve">Koehn (2019)</w:t>
      </w:r>
      <w:r>
        <w:t xml:space="preserve"> </w:t>
      </w:r>
      <w:r>
        <w:t xml:space="preserve">argues that while MT can enhance efficiency, it cannot replace the cultural and contextual expertise of professional translator-interpreters. In Brussels, where precision is paramount, hybrid models combining AI and human input are gaining traction.</w:t>
      </w:r>
    </w:p>
    <w:p>
      <w:pPr>
        <w:pStyle w:val="BodyText"/>
      </w:pPr>
      <w:r>
        <w:t xml:space="preserve">However, technological reliance poses risks. A report by the</w:t>
      </w:r>
      <w:r>
        <w:t xml:space="preserve"> </w:t>
      </w:r>
      <w:r>
        <w:rPr>
          <w:iCs/>
          <w:i/>
        </w:rPr>
        <w:t xml:space="preserve">European Federation of Translators (2021)</w:t>
      </w:r>
      <w:r>
        <w:t xml:space="preserve"> </w:t>
      </w:r>
      <w:r>
        <w:t xml:space="preserve">warns that over-reliance on MT may lead to errors in critical documents or misinterpretations of tone and intent, particularly in multilingual EU contexts.</w:t>
      </w:r>
    </w:p>
    <w:bookmarkEnd w:id="23"/>
    <w:bookmarkStart w:id="24" w:name="case-studies-and-practical-applications"/>
    <w:p>
      <w:pPr>
        <w:pStyle w:val="Heading2"/>
      </w:pPr>
      <w:r>
        <w:t xml:space="preserve">5. Case Studies and Practical Applications</w:t>
      </w:r>
    </w:p>
    <w:p>
      <w:pPr>
        <w:pStyle w:val="FirstParagraph"/>
      </w:pPr>
      <w:r>
        <w:t xml:space="preserve">Cases from Brussels illustrate the practical challenges faced by translator-interpreters. For instance, the 2019 Brexit negotiations required interpreters to manage rapid-fire discussions involving French, Dutch, and English simultaneously.</w:t>
      </w:r>
      <w:r>
        <w:t xml:space="preserve"> </w:t>
      </w:r>
      <w:r>
        <w:rPr>
          <w:iCs/>
          <w:i/>
        </w:rPr>
        <w:t xml:space="preserve">Jansen (2021)</w:t>
      </w:r>
      <w:r>
        <w:t xml:space="preserve"> </w:t>
      </w:r>
      <w:r>
        <w:t xml:space="preserve">notes that this environment tested even seasoned professionals’ ability to maintain accuracy under pressure.</w:t>
      </w:r>
    </w:p>
    <w:p>
      <w:pPr>
        <w:pStyle w:val="BodyText"/>
      </w:pPr>
      <w:r>
        <w:t xml:space="preserve">In another example, medical interpreters in Brussels hospitals have been pivotal during the COVID-19 pandemic, ensuring patients from non-French-speaking backgrounds receive accurate information about health protocols.</w:t>
      </w:r>
      <w:r>
        <w:t xml:space="preserve"> </w:t>
      </w:r>
      <w:r>
        <w:rPr>
          <w:iCs/>
          <w:i/>
        </w:rPr>
        <w:t xml:space="preserve">De Vos (2020)</w:t>
      </w:r>
      <w:r>
        <w:t xml:space="preserve"> </w:t>
      </w:r>
      <w:r>
        <w:t xml:space="preserve">emphasizes that such scenarios highlight the lifesaving role of translator-interpreters in emergency contexts.</w:t>
      </w:r>
    </w:p>
    <w:bookmarkEnd w:id="24"/>
    <w:bookmarkStart w:id="25" w:name="policy-and-institutional-support"/>
    <w:p>
      <w:pPr>
        <w:pStyle w:val="Heading2"/>
      </w:pPr>
      <w:r>
        <w:t xml:space="preserve">6. Policy and Institutional Support</w:t>
      </w:r>
    </w:p>
    <w:p>
      <w:pPr>
        <w:pStyle w:val="FirstParagraph"/>
      </w:pPr>
      <w:r>
        <w:t xml:space="preserve">Belgium’s legal framework provides some support for translator-interpreters, but gaps remain. The</w:t>
      </w:r>
      <w:r>
        <w:t xml:space="preserve"> </w:t>
      </w:r>
      <w:r>
        <w:rPr>
          <w:iCs/>
          <w:i/>
        </w:rPr>
        <w:t xml:space="preserve">Law on Public Service Interpretation (2015)</w:t>
      </w:r>
      <w:r>
        <w:t xml:space="preserve"> </w:t>
      </w:r>
      <w:r>
        <w:t xml:space="preserve">mandates that public institutions provide interpretation services, yet funding and training are inconsistent across regions.</w:t>
      </w:r>
      <w:r>
        <w:t xml:space="preserve"> </w:t>
      </w:r>
      <w:r>
        <w:rPr>
          <w:iCs/>
          <w:i/>
        </w:rPr>
        <w:t xml:space="preserve">Rosseel (2017)</w:t>
      </w:r>
      <w:r>
        <w:t xml:space="preserve"> </w:t>
      </w:r>
      <w:r>
        <w:t xml:space="preserve">critiques this fragmentation, arguing that it undermines the quality of services in Brussels.</w:t>
      </w:r>
    </w:p>
    <w:p>
      <w:pPr>
        <w:pStyle w:val="BodyText"/>
      </w:pPr>
      <w:r>
        <w:t xml:space="preserve">In contrast, EU institutions offer more structured support. The European Commission’s</w:t>
      </w:r>
      <w:r>
        <w:t xml:space="preserve"> </w:t>
      </w:r>
      <w:r>
        <w:rPr>
          <w:iCs/>
          <w:i/>
        </w:rPr>
        <w:t xml:space="preserve">Linguistic Quality Assurance</w:t>
      </w:r>
      <w:r>
        <w:t xml:space="preserve"> </w:t>
      </w:r>
      <w:r>
        <w:t xml:space="preserve">program ensures high standards for official translations and interpretations, reflecting the critical role these professionals play in EU governance.</w:t>
      </w:r>
    </w:p>
    <w:bookmarkEnd w:id="25"/>
    <w:bookmarkStart w:id="26" w:name="challenges-specific-to-belgium-brussels"/>
    <w:p>
      <w:pPr>
        <w:pStyle w:val="Heading2"/>
      </w:pPr>
      <w:r>
        <w:t xml:space="preserve">7. Challenges Specific to Belgium Brussels</w:t>
      </w:r>
    </w:p>
    <w:p>
      <w:pPr>
        <w:pStyle w:val="FirstParagraph"/>
      </w:pPr>
      <w:r>
        <w:t xml:space="preserve">The unique challenges of Brussels include:</w:t>
      </w:r>
    </w:p>
    <w:p>
      <w:pPr>
        <w:numPr>
          <w:ilvl w:val="0"/>
          <w:numId w:val="1001"/>
        </w:numPr>
        <w:pStyle w:val="Compact"/>
      </w:pPr>
      <w:r>
        <w:rPr>
          <w:bCs/>
          <w:b/>
        </w:rPr>
        <w:t xml:space="preserve">Linguistic Diversity:</w:t>
      </w:r>
      <w:r>
        <w:t xml:space="preserve"> </w:t>
      </w:r>
      <w:r>
        <w:t xml:space="preserve">Managing over 100 languages spoken by migrants and expatriates requires a broad skill set.</w:t>
      </w:r>
    </w:p>
    <w:p>
      <w:pPr>
        <w:numPr>
          <w:ilvl w:val="0"/>
          <w:numId w:val="1001"/>
        </w:numPr>
        <w:pStyle w:val="Compact"/>
      </w:pPr>
      <w:r>
        <w:rPr>
          <w:bCs/>
          <w:b/>
        </w:rPr>
        <w:t xml:space="preserve">Cultural Nuances:</w:t>
      </w:r>
      <w:r>
        <w:t xml:space="preserve"> </w:t>
      </w:r>
      <w:r>
        <w:t xml:space="preserve">Translators must navigate cultural sensitivities, such as differences in formal address or idiomatic expressions.</w:t>
      </w:r>
    </w:p>
    <w:p>
      <w:pPr>
        <w:numPr>
          <w:ilvl w:val="0"/>
          <w:numId w:val="1001"/>
        </w:numPr>
        <w:pStyle w:val="Compact"/>
      </w:pPr>
      <w:r>
        <w:rPr>
          <w:bCs/>
          <w:b/>
        </w:rPr>
        <w:t xml:space="preserve">Political Sensitivity:</w:t>
      </w:r>
      <w:r>
        <w:t xml:space="preserve"> </w:t>
      </w:r>
      <w:r>
        <w:t xml:space="preserve">Interpreters in EU settings must remain neutral, even when translating contentious political debates.</w:t>
      </w:r>
    </w:p>
    <w:p>
      <w:pPr>
        <w:pStyle w:val="FirstParagraph"/>
      </w:pPr>
      <w:r>
        <w:rPr>
          <w:iCs/>
          <w:i/>
        </w:rPr>
        <w:t xml:space="preserve">Fraiture (2019)</w:t>
      </w:r>
      <w:r>
        <w:t xml:space="preserve"> </w:t>
      </w:r>
      <w:r>
        <w:t xml:space="preserve">notes that these challenges are compounded by the fast-paced nature of Brussels’ professional environment, where deadlines and accuracy demands are often competing priorities.</w:t>
      </w:r>
    </w:p>
    <w:bookmarkEnd w:id="26"/>
    <w:bookmarkStart w:id="27" w:name="future-directions-and-recommendations"/>
    <w:p>
      <w:pPr>
        <w:pStyle w:val="Heading2"/>
      </w:pPr>
      <w:r>
        <w:t xml:space="preserve">8. Future Directions and Recommendations</w:t>
      </w:r>
    </w:p>
    <w:p>
      <w:pPr>
        <w:pStyle w:val="FirstParagraph"/>
      </w:pPr>
      <w:r>
        <w:t xml:space="preserve">To address current gaps, this review recommends:</w:t>
      </w:r>
    </w:p>
    <w:p>
      <w:pPr>
        <w:numPr>
          <w:ilvl w:val="0"/>
          <w:numId w:val="1002"/>
        </w:numPr>
        <w:pStyle w:val="Compact"/>
      </w:pPr>
      <w:r>
        <w:rPr>
          <w:bCs/>
          <w:b/>
        </w:rPr>
        <w:t xml:space="preserve">Enhanced Training Programs:</w:t>
      </w:r>
      <w:r>
        <w:t xml:space="preserve"> </w:t>
      </w:r>
      <w:r>
        <w:t xml:space="preserve">Incorporating cross-cultural communication modules into translator-interpreter education in Brussels.</w:t>
      </w:r>
    </w:p>
    <w:p>
      <w:pPr>
        <w:numPr>
          <w:ilvl w:val="0"/>
          <w:numId w:val="1002"/>
        </w:numPr>
        <w:pStyle w:val="Compact"/>
      </w:pPr>
      <w:r>
        <w:rPr>
          <w:bCs/>
          <w:b/>
        </w:rPr>
        <w:t xml:space="preserve">Better Regulation:</w:t>
      </w:r>
      <w:r>
        <w:t xml:space="preserve"> </w:t>
      </w:r>
      <w:r>
        <w:t xml:space="preserve">Establishing regional standards for interpreting services to ensure consistency and quality.</w:t>
      </w:r>
    </w:p>
    <w:p>
      <w:pPr>
        <w:numPr>
          <w:ilvl w:val="0"/>
          <w:numId w:val="1002"/>
        </w:numPr>
        <w:pStyle w:val="Compact"/>
      </w:pPr>
      <w:r>
        <w:rPr>
          <w:bCs/>
          <w:b/>
        </w:rPr>
        <w:t xml:space="preserve">Leveraging Technology:</w:t>
      </w:r>
      <w:r>
        <w:t xml:space="preserve"> </w:t>
      </w:r>
      <w:r>
        <w:t xml:space="preserve">Developing AI tools tailored to EU multilingual contexts, with human oversight as a safeguard.</w:t>
      </w:r>
    </w:p>
    <w:p>
      <w:pPr>
        <w:pStyle w:val="FirstParagraph"/>
      </w:pPr>
      <w:r>
        <w:rPr>
          <w:iCs/>
          <w:i/>
        </w:rPr>
        <w:t xml:space="preserve">Gros (2021)</w:t>
      </w:r>
      <w:r>
        <w:t xml:space="preserve"> </w:t>
      </w:r>
      <w:r>
        <w:t xml:space="preserve">further suggests that Brussels should invest in research on the long-term impacts of translation practices on social cohesion and intercultural understanding.</w:t>
      </w:r>
    </w:p>
    <w:bookmarkEnd w:id="27"/>
    <w:bookmarkStart w:id="28" w:name="conclusion"/>
    <w:p>
      <w:pPr>
        <w:pStyle w:val="Heading2"/>
      </w:pPr>
      <w:r>
        <w:t xml:space="preserve">Conclusion</w:t>
      </w:r>
    </w:p>
    <w:p>
      <w:pPr>
        <w:pStyle w:val="FirstParagraph"/>
      </w:pPr>
      <w:r>
        <w:t xml:space="preserve">The role of translator-interpreter professionals in Belgium Brussels is both critical and complex. This Literature Review underscores their importance in navigating the city’s linguistic diversity, supporting EU institutions, and fostering cross-cultural communication. As globalization continues to shape Brussels’ social and political landscape, the need for skilled translators and interpreters will only grow. Addressing current challenges through policy reform, education, and technology integration is essential to ensure these professionals can meet the demands of this dynamic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Belgium Brussels</dc:title>
  <dc:creator/>
  <dc:language>en</dc:language>
  <cp:keywords/>
  <dcterms:created xsi:type="dcterms:W3CDTF">2026-07-23T12:55:31Z</dcterms:created>
  <dcterms:modified xsi:type="dcterms:W3CDTF">2026-07-23T12:55:31Z</dcterms:modified>
</cp:coreProperties>
</file>

<file path=docProps/custom.xml><?xml version="1.0" encoding="utf-8"?>
<Properties xmlns="http://schemas.openxmlformats.org/officeDocument/2006/custom-properties" xmlns:vt="http://schemas.openxmlformats.org/officeDocument/2006/docPropsVTypes"/>
</file>