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1d118ec5bd54be104f1ebb6b89a52478b6aa01d"/>
    <w:p>
      <w:pPr>
        <w:pStyle w:val="Heading1"/>
      </w:pPr>
      <w:r>
        <w:t xml:space="preserve">Literature Review: Translator Interpreter in Colombia Bogotá</w:t>
      </w:r>
    </w:p>
    <w:p>
      <w:pPr>
        <w:pStyle w:val="FirstParagraph"/>
      </w:pPr>
      <w:r>
        <w:t xml:space="preserve">This literature review explores the role, challenges, and significance of translator-interpreter services in the context of Colombia’s capital city, Bogotá. As a multilingual and culturally diverse region, Bogotá presents unique demands for translation and interpretation services across sectors such as legal, medical, educational institutions (e.g., Universidad Nacional de Colombia), international business hubs (e.g., Expoguate), and diplomatic activities. The review synthesizes existing academic research, industry reports, and policy frameworks to highlight the criticality of these professions in bridging linguistic gaps while navigating the socio-political and economic landscape of Colombia.</w:t>
      </w:r>
    </w:p>
    <w:bookmarkStart w:id="20" w:name="linguistic-diversity-as-a-driving-factor"/>
    <w:p>
      <w:pPr>
        <w:pStyle w:val="Heading2"/>
      </w:pPr>
      <w:r>
        <w:t xml:space="preserve">1. Linguistic Diversity as a Driving Factor</w:t>
      </w:r>
    </w:p>
    <w:p>
      <w:pPr>
        <w:pStyle w:val="FirstParagraph"/>
      </w:pPr>
      <w:r>
        <w:t xml:space="preserve">Bogotá, as Colombia’s administrative and economic capital, is home to over 7 million residents (Colombia National Statistics Office, 2023), with Spanish being the dominant language. However, the city’s proximity to indigenous communities (e.g., Nasa people of Putumayo) and its role as a migration hub for internal displacement due to conflict have introduced a mosaic of languages, including Quechua, Wayuu, and regional dialects. According to</w:t>
      </w:r>
      <w:r>
        <w:t xml:space="preserve"> </w:t>
      </w:r>
      <w:r>
        <w:rPr>
          <w:iCs/>
          <w:i/>
        </w:rPr>
        <w:t xml:space="preserve">Revista de Estudios Sociales</w:t>
      </w:r>
      <w:r>
        <w:t xml:space="preserve"> </w:t>
      </w:r>
      <w:r>
        <w:t xml:space="preserve">(2021), 18% of Bogotá’s population reports speaking at least one indigenous language at home. This linguistic diversity necessitates skilled translator-interpreters who can navigate both formal and informal communication contexts, ensuring equitable access to public services, education, and healthcare.</w:t>
      </w:r>
    </w:p>
    <w:bookmarkEnd w:id="20"/>
    <w:bookmarkStart w:id="21" w:name="legal-and-ethical-challenges"/>
    <w:p>
      <w:pPr>
        <w:pStyle w:val="Heading2"/>
      </w:pPr>
      <w:r>
        <w:t xml:space="preserve">2. Legal and Ethical Challenges</w:t>
      </w:r>
    </w:p>
    <w:p>
      <w:pPr>
        <w:pStyle w:val="FirstParagraph"/>
      </w:pPr>
      <w:r>
        <w:t xml:space="preserve">Legal translation in Bogotá is a specialized field requiring fluency in Spanish legal terminology and an understanding of Colombia’s judicial system. A 2020 study by the Universidad Javeriana found that errors in legal translations—such as misinterpreting contracts or court documents—contribute to 15% of disputes involving international firms operating in Bogotá. Researchers emphasize the need for certified translator-interpreters who adhere to standards set by the</w:t>
      </w:r>
      <w:r>
        <w:t xml:space="preserve"> </w:t>
      </w:r>
      <w:r>
        <w:rPr>
          <w:iCs/>
          <w:i/>
        </w:rPr>
        <w:t xml:space="preserve">Consejo Colombiano de Traductores</w:t>
      </w:r>
      <w:r>
        <w:t xml:space="preserve"> </w:t>
      </w:r>
      <w:r>
        <w:t xml:space="preserve">(Colombian Council of Translators). Ethical considerations, such as maintaining confidentiality in sensitive cases (e.g., asylum applications or human rights investigations), are also highlighted as critical areas of focus.</w:t>
      </w:r>
    </w:p>
    <w:bookmarkEnd w:id="21"/>
    <w:bookmarkStart w:id="22" w:name="medical-and-healthcare-contexts"/>
    <w:p>
      <w:pPr>
        <w:pStyle w:val="Heading2"/>
      </w:pPr>
      <w:r>
        <w:t xml:space="preserve">3. Medical and Healthcare Contexts</w:t>
      </w:r>
    </w:p>
    <w:p>
      <w:pPr>
        <w:pStyle w:val="FirstParagraph"/>
      </w:pPr>
      <w:r>
        <w:t xml:space="preserve">Bogotá’s healthcare sector, including institutions like the Universidad de los Andes Hospital and Fundación Santa Fe de Bogotá, relies heavily on professional medical translators to bridge communication gaps between patients and providers. A 2021 report by the Colombian Ministry of Health noted that language barriers contribute to delayed diagnoses and medication errors in 8% of cases involving non-Spanish-speaking patients. The integration of technology, such as AI-powered translation apps, has been proposed as a supplementary tool but remains controversial due to concerns over accuracy in life-threatening scenarios.</w:t>
      </w:r>
    </w:p>
    <w:bookmarkEnd w:id="22"/>
    <w:bookmarkStart w:id="23" w:name="education-and-academic-collaboration"/>
    <w:p>
      <w:pPr>
        <w:pStyle w:val="Heading2"/>
      </w:pPr>
      <w:r>
        <w:t xml:space="preserve">4. Education and Academic Collaboration</w:t>
      </w:r>
    </w:p>
    <w:p>
      <w:pPr>
        <w:pStyle w:val="FirstParagraph"/>
      </w:pPr>
      <w:r>
        <w:t xml:space="preserve">Bogotá hosts numerous universities and research institutions that attract international scholars, necessitating robust translation services for academic publishing, conferences, and exchange programs. The Universidad Nacional de Colombia’s Center for Translation Studies has documented a 30% increase in demand for academic translators since 2018, driven by global collaboration on topics like environmental policy (e.g., Amazon conservation) and social justice. However, gaps persist in training programs that address the specific needs of academic translation, such as handling technical jargon or preserving cultural nuances.</w:t>
      </w:r>
    </w:p>
    <w:bookmarkEnd w:id="23"/>
    <w:bookmarkStart w:id="24" w:name="X6227d6f267f34585085914bf35f8a3d2c0fec5f"/>
    <w:p>
      <w:pPr>
        <w:pStyle w:val="Heading2"/>
      </w:pPr>
      <w:r>
        <w:t xml:space="preserve">5. Technological Advancements and AI Integration</w:t>
      </w:r>
    </w:p>
    <w:p>
      <w:pPr>
        <w:pStyle w:val="FirstParagraph"/>
      </w:pPr>
      <w:r>
        <w:t xml:space="preserve">The rise of machine translation (MT) tools like DeepL and Google Translate has transformed the translator-interpreter landscape in Bogotá. While these technologies improve efficiency, they lack the cultural sensitivity required for nuanced tasks, such as interpreting idiomatic expressions or resolving ambiguity in legal texts. A 2022 survey by the Asociación Colombiana de Lenguas (ACOL) revealed that 65% of professionals in Bogotá view AI as a “double-edged sword,” citing its potential to reduce costs but also to undermine the human element crucial for high-stakes interpretation.</w:t>
      </w:r>
    </w:p>
    <w:bookmarkEnd w:id="24"/>
    <w:bookmarkStart w:id="25" w:name="cultural-and-political-sensitivities"/>
    <w:p>
      <w:pPr>
        <w:pStyle w:val="Heading2"/>
      </w:pPr>
      <w:r>
        <w:t xml:space="preserve">6. Cultural and Political Sensitivities</w:t>
      </w:r>
    </w:p>
    <w:p>
      <w:pPr>
        <w:pStyle w:val="FirstParagraph"/>
      </w:pPr>
      <w:r>
        <w:t xml:space="preserve">Bogotá’s history of political conflict, including the FARC insurgency and ongoing debates over peace agreements, demands that translator-interpreters be culturally astute. For instance, interpreting statements from Colombian politicians or NGOs involved in post-conflict reconciliation requires awareness of historical trauma and regional dialects. A 2023 article in</w:t>
      </w:r>
      <w:r>
        <w:t xml:space="preserve"> </w:t>
      </w:r>
      <w:r>
        <w:rPr>
          <w:iCs/>
          <w:i/>
        </w:rPr>
        <w:t xml:space="preserve">Revista de Estudios Internacionales</w:t>
      </w:r>
      <w:r>
        <w:t xml:space="preserve"> </w:t>
      </w:r>
      <w:r>
        <w:t xml:space="preserve">highlighted how misinterpretation of peace negotiations has led to public mistrust, underscoring the need for translators with deep knowledge of Colombia’s socio-political context.</w:t>
      </w:r>
    </w:p>
    <w:bookmarkEnd w:id="25"/>
    <w:bookmarkStart w:id="26" w:name="gaps-in-research-and-future-directions"/>
    <w:p>
      <w:pPr>
        <w:pStyle w:val="Heading2"/>
      </w:pPr>
      <w:r>
        <w:t xml:space="preserve">7. Gaps in Research and Future Directions</w:t>
      </w:r>
    </w:p>
    <w:p>
      <w:pPr>
        <w:pStyle w:val="FirstParagraph"/>
      </w:pPr>
      <w:r>
        <w:t xml:space="preserve">Despite growing attention, literature on translator-interpreter services in Bogotá remains fragmented. Few studies have examined the impact of Colombia’s 2016 peace agreement on translation demands or the role of grassroots organizations in training interpreters for marginalized communities. Additionally, there is limited data on how emerging technologies are being adopted by local institutions like Bogotá’s Chamber of Commerce (Cámara de Comercio). Future research should prioritize longitudinal studies tracking the evolution of these professions and interdisciplinary approaches that merge linguistics, technology, and cultural studies.</w:t>
      </w:r>
    </w:p>
    <w:bookmarkEnd w:id="26"/>
    <w:bookmarkStart w:id="27" w:name="conclusion"/>
    <w:p>
      <w:pPr>
        <w:pStyle w:val="Heading2"/>
      </w:pPr>
      <w:r>
        <w:t xml:space="preserve">8. Conclusion</w:t>
      </w:r>
    </w:p>
    <w:p>
      <w:pPr>
        <w:pStyle w:val="FirstParagraph"/>
      </w:pPr>
      <w:r>
        <w:t xml:space="preserve">In conclusion, translator-interpreter services in Colombia Bogotá are indispensable for fostering inclusivity, facilitating international collaboration, and ensuring accurate communication in high-stakes environments. While challenges persist—ranging from linguistic diversity to technological limitations—the field presents opportunities for innovation and research. As Bogotá continues to grow as a global hub, the demand for skilled professionals who can navigate its complex cultural and political terrain will only increase. This literature review underscores the urgency of integrating local knowledge into training programs, adopting ethical standards, and leveraging technology responsibly to meet these evolving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Colombia Bogotá</dc:title>
  <dc:creator/>
  <dc:language>en</dc:language>
  <cp:keywords/>
  <dcterms:created xsi:type="dcterms:W3CDTF">2026-07-21T14:57:34Z</dcterms:created>
  <dcterms:modified xsi:type="dcterms:W3CDTF">2026-07-21T14:57:34Z</dcterms:modified>
</cp:coreProperties>
</file>

<file path=docProps/custom.xml><?xml version="1.0" encoding="utf-8"?>
<Properties xmlns="http://schemas.openxmlformats.org/officeDocument/2006/custom-properties" xmlns:vt="http://schemas.openxmlformats.org/officeDocument/2006/docPropsVTypes"/>
</file>