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Melbourne</w:t>
      </w:r>
    </w:p>
    <w:bookmarkStart w:id="25" w:name="Xb9abb2605e386ee1bface7c95722a0aedc4f24f"/>
    <w:p>
      <w:pPr>
        <w:pStyle w:val="Heading1"/>
      </w:pPr>
      <w:r>
        <w:t xml:space="preserve">Literature Review: University Lecturer in Australia Melbourne</w:t>
      </w:r>
    </w:p>
    <w:p>
      <w:pPr>
        <w:pStyle w:val="FirstParagraph"/>
      </w:pPr>
      <w:r>
        <w:t xml:space="preserve">This literature review explores the role, challenges, and evolving responsibilities of</w:t>
      </w:r>
      <w:r>
        <w:t xml:space="preserve"> </w:t>
      </w:r>
      <w:r>
        <w:rPr>
          <w:bCs/>
          <w:b/>
        </w:rPr>
        <w:t xml:space="preserve">University Lecturers</w:t>
      </w:r>
      <w:r>
        <w:t xml:space="preserve"> </w:t>
      </w:r>
      <w:r>
        <w:t xml:space="preserve">within the higher education sector of</w:t>
      </w:r>
      <w:r>
        <w:t xml:space="preserve"> </w:t>
      </w:r>
      <w:r>
        <w:rPr>
          <w:bCs/>
          <w:b/>
        </w:rPr>
        <w:t xml:space="preserve">Australia Melbourne</w:t>
      </w:r>
      <w:r>
        <w:t xml:space="preserve">. Focused on academic institutions such as the University of Melbourne, Monash University, and RMIT University, this review synthesizes existing research to highlight trends in pedagogy, institutional expectations, and policy frameworks that shape the professional landscape for lecturers in this region. The discussion underscores the significance of</w:t>
      </w:r>
      <w:r>
        <w:t xml:space="preserve"> </w:t>
      </w:r>
      <w:r>
        <w:rPr>
          <w:bCs/>
          <w:b/>
        </w:rPr>
        <w:t xml:space="preserve">University Lecturer</w:t>
      </w:r>
      <w:r>
        <w:t xml:space="preserve"> </w:t>
      </w:r>
      <w:r>
        <w:t xml:space="preserve">contributions to academic excellence and student development within</w:t>
      </w:r>
      <w:r>
        <w:t xml:space="preserve"> </w:t>
      </w:r>
      <w:r>
        <w:rPr>
          <w:bCs/>
          <w:b/>
        </w:rPr>
        <w:t xml:space="preserve">Australia Melbourne</w:t>
      </w:r>
      <w:r>
        <w:t xml:space="preserve">’s dynamic educational environment.</w:t>
      </w:r>
    </w:p>
    <w:bookmarkStart w:id="20" w:name="X97ff6cb569bf3885e5f72eb17662c6932f2f446"/>
    <w:p>
      <w:pPr>
        <w:pStyle w:val="Heading2"/>
      </w:pPr>
      <w:r>
        <w:t xml:space="preserve">The Role of University Lecturers in Australia Melbourne</w:t>
      </w:r>
    </w:p>
    <w:p>
      <w:pPr>
        <w:pStyle w:val="FirstParagraph"/>
      </w:pPr>
      <w:r>
        <w:t xml:space="preserve">Literature on higher education in</w:t>
      </w:r>
      <w:r>
        <w:t xml:space="preserve"> </w:t>
      </w:r>
      <w:r>
        <w:rPr>
          <w:bCs/>
          <w:b/>
        </w:rPr>
        <w:t xml:space="preserve">Australia Melbourne</w:t>
      </w:r>
      <w:r>
        <w:t xml:space="preserve"> </w:t>
      </w:r>
      <w:r>
        <w:t xml:space="preserve">consistently emphasizes the multifaceted role of</w:t>
      </w:r>
      <w:r>
        <w:t xml:space="preserve"> </w:t>
      </w:r>
      <w:r>
        <w:rPr>
          <w:bCs/>
          <w:b/>
        </w:rPr>
        <w:t xml:space="preserve">University Lecturers</w:t>
      </w:r>
      <w:r>
        <w:t xml:space="preserve">, who are not only educators but also researchers, mentors, and contributors to institutional innovation. Studies by authors such as Kehm and Säljö (2008) highlight that lecturers in Australian universities are tasked with balancing teaching responsibilities with research outputs—a dual demand that is particularly pronounced in</w:t>
      </w:r>
      <w:r>
        <w:t xml:space="preserve"> </w:t>
      </w:r>
      <w:r>
        <w:rPr>
          <w:bCs/>
          <w:b/>
        </w:rPr>
        <w:t xml:space="preserve">Australia Melbourne</w:t>
      </w:r>
      <w:r>
        <w:t xml:space="preserve">, where institutions compete globally for funding and academic prestige.</w:t>
      </w:r>
    </w:p>
    <w:p>
      <w:pPr>
        <w:pStyle w:val="BodyText"/>
      </w:pPr>
      <w:r>
        <w:t xml:space="preserve">Research by the Australian Council for Education Research (ACER, 2019) notes that</w:t>
      </w:r>
      <w:r>
        <w:t xml:space="preserve"> </w:t>
      </w:r>
      <w:r>
        <w:rPr>
          <w:bCs/>
          <w:b/>
        </w:rPr>
        <w:t xml:space="preserve">University Lecturers</w:t>
      </w:r>
      <w:r>
        <w:t xml:space="preserve"> </w:t>
      </w:r>
      <w:r>
        <w:t xml:space="preserve">in</w:t>
      </w:r>
      <w:r>
        <w:t xml:space="preserve"> </w:t>
      </w:r>
      <w:r>
        <w:rPr>
          <w:bCs/>
          <w:b/>
        </w:rPr>
        <w:t xml:space="preserve">Australia Melbourne</w:t>
      </w:r>
      <w:r>
        <w:t xml:space="preserve"> </w:t>
      </w:r>
      <w:r>
        <w:t xml:space="preserve">are increasingly expected to integrate interdisciplinary approaches into their curricula. This aligns with the broader shift toward fostering critical thinking and innovation among students, a trend supported by institutional policies at the University of Melbourne and Monash University. However, this dual role often leads to challenges such as time constraints and burnout, as highlighted in a 2021 study by the Australian Workers’ Union (AWU) on academic workloads.</w:t>
      </w:r>
    </w:p>
    <w:bookmarkEnd w:id="20"/>
    <w:bookmarkStart w:id="21" w:name="X39628959a9cdc39713376d006630a961101cbd2"/>
    <w:p>
      <w:pPr>
        <w:pStyle w:val="Heading2"/>
      </w:pPr>
      <w:r>
        <w:t xml:space="preserve">Challenges Faced by University Lecturers in Australia Melbourne</w:t>
      </w:r>
    </w:p>
    <w:p>
      <w:pPr>
        <w:pStyle w:val="FirstParagraph"/>
      </w:pPr>
      <w:r>
        <w:t xml:space="preserve">The literature reveals several systemic and cultural challenges unique to</w:t>
      </w:r>
      <w:r>
        <w:t xml:space="preserve"> </w:t>
      </w:r>
      <w:r>
        <w:rPr>
          <w:bCs/>
          <w:b/>
        </w:rPr>
        <w:t xml:space="preserve">University Lecturers</w:t>
      </w:r>
      <w:r>
        <w:t xml:space="preserve"> </w:t>
      </w:r>
      <w:r>
        <w:t xml:space="preserve">in</w:t>
      </w:r>
      <w:r>
        <w:t xml:space="preserve"> </w:t>
      </w:r>
      <w:r>
        <w:rPr>
          <w:bCs/>
          <w:b/>
        </w:rPr>
        <w:t xml:space="preserve">Australia Melbourne</w:t>
      </w:r>
      <w:r>
        <w:t xml:space="preserve">. One recurring theme is the tension between teaching and research responsibilities. A study by Boud (2010) found that lecturers in Australian universities, including those in</w:t>
      </w:r>
      <w:r>
        <w:t xml:space="preserve"> </w:t>
      </w:r>
      <w:r>
        <w:rPr>
          <w:bCs/>
          <w:b/>
        </w:rPr>
        <w:t xml:space="preserve">Australia Melbourne</w:t>
      </w:r>
      <w:r>
        <w:t xml:space="preserve">, often face pressure to publish high-impact research while managing large classes and administrative duties. This conflict is exacerbated by funding models that prioritize research output, as noted in a 2017 report by the Department of Education in Victoria.</w:t>
      </w:r>
    </w:p>
    <w:p>
      <w:pPr>
        <w:pStyle w:val="BodyText"/>
      </w:pPr>
      <w:r>
        <w:t xml:space="preserve">Additionally, the diversity of student populations in</w:t>
      </w:r>
      <w:r>
        <w:t xml:space="preserve"> </w:t>
      </w:r>
      <w:r>
        <w:rPr>
          <w:bCs/>
          <w:b/>
        </w:rPr>
        <w:t xml:space="preserve">Australia Melbourne</w:t>
      </w:r>
      <w:r>
        <w:t xml:space="preserve"> </w:t>
      </w:r>
      <w:r>
        <w:t xml:space="preserve">has introduced new demands on</w:t>
      </w:r>
      <w:r>
        <w:t xml:space="preserve"> </w:t>
      </w:r>
      <w:r>
        <w:rPr>
          <w:bCs/>
          <w:b/>
        </w:rPr>
        <w:t xml:space="preserve">University Lecturers</w:t>
      </w:r>
      <w:r>
        <w:t xml:space="preserve">. Research by Kift (2015) underscores the need for culturally responsive teaching strategies to support international students and Indigenous learners. This has led to calls for professional development programs tailored to the specific needs of lecturers in</w:t>
      </w:r>
      <w:r>
        <w:t xml:space="preserve"> </w:t>
      </w:r>
      <w:r>
        <w:rPr>
          <w:bCs/>
          <w:b/>
        </w:rPr>
        <w:t xml:space="preserve">Australia Melbourne</w:t>
      </w:r>
      <w:r>
        <w:t xml:space="preserve">, as seen in initiatives by RMIT University’s Centre for Learning and Teaching.</w:t>
      </w:r>
    </w:p>
    <w:p>
      <w:pPr>
        <w:pStyle w:val="BodyText"/>
      </w:pPr>
      <w:r>
        <w:t xml:space="preserve">Workload pressures are another critical issue. A 2020 survey by the Australian Association of Universities (AAU) revealed that over 70% of</w:t>
      </w:r>
      <w:r>
        <w:t xml:space="preserve"> </w:t>
      </w:r>
      <w:r>
        <w:rPr>
          <w:bCs/>
          <w:b/>
        </w:rPr>
        <w:t xml:space="preserve">University Lecturers</w:t>
      </w:r>
      <w:r>
        <w:t xml:space="preserve"> </w:t>
      </w:r>
      <w:r>
        <w:t xml:space="preserve">in</w:t>
      </w:r>
      <w:r>
        <w:t xml:space="preserve"> </w:t>
      </w:r>
      <w:r>
        <w:rPr>
          <w:bCs/>
          <w:b/>
        </w:rPr>
        <w:t xml:space="preserve">Australia Melbourne</w:t>
      </w:r>
      <w:r>
        <w:t xml:space="preserve"> </w:t>
      </w:r>
      <w:r>
        <w:t xml:space="preserve">reported excessive work hours, with many citing insufficient support for mental health and professional well-being. This has prompted advocacy for policy reforms to address systemic underfunding of academic staff.</w:t>
      </w:r>
    </w:p>
    <w:bookmarkEnd w:id="21"/>
    <w:bookmarkStart w:id="22" w:name="X31634101829dd2fe21291619eea70eea2eadbb8"/>
    <w:p>
      <w:pPr>
        <w:pStyle w:val="Heading2"/>
      </w:pPr>
      <w:r>
        <w:t xml:space="preserve">Evolving Pedagogical Practices Among University Lecturers in Australia Melbourne</w:t>
      </w:r>
    </w:p>
    <w:p>
      <w:pPr>
        <w:pStyle w:val="FirstParagraph"/>
      </w:pPr>
      <w:r>
        <w:t xml:space="preserve">The literature highlights the adoption of technology-enhanced learning (TEL) as a transformative trend among</w:t>
      </w:r>
      <w:r>
        <w:t xml:space="preserve"> </w:t>
      </w:r>
      <w:r>
        <w:rPr>
          <w:bCs/>
          <w:b/>
        </w:rPr>
        <w:t xml:space="preserve">University Lecturers</w:t>
      </w:r>
      <w:r>
        <w:t xml:space="preserve"> </w:t>
      </w:r>
      <w:r>
        <w:t xml:space="preserve">in</w:t>
      </w:r>
      <w:r>
        <w:t xml:space="preserve"> </w:t>
      </w:r>
      <w:r>
        <w:rPr>
          <w:bCs/>
          <w:b/>
        </w:rPr>
        <w:t xml:space="preserve">Australia Melbourne</w:t>
      </w:r>
      <w:r>
        <w:t xml:space="preserve">. A 2019 study by the Australian Learning and Teaching Council (ALTC) found that institutions like Deakin University and Swinburne University have integrated digital tools such as virtual classrooms and AI-driven assessments to improve student engagement. This shift reflects broader global trends, yet it is uniquely contextualized in</w:t>
      </w:r>
      <w:r>
        <w:t xml:space="preserve"> </w:t>
      </w:r>
      <w:r>
        <w:rPr>
          <w:bCs/>
          <w:b/>
        </w:rPr>
        <w:t xml:space="preserve">Australia Melbourne</w:t>
      </w:r>
      <w:r>
        <w:t xml:space="preserve"> </w:t>
      </w:r>
      <w:r>
        <w:t xml:space="preserve">through initiatives like the Digital Learning Lab at the University of Melbourne.</w:t>
      </w:r>
    </w:p>
    <w:p>
      <w:pPr>
        <w:pStyle w:val="BodyText"/>
      </w:pPr>
      <w:r>
        <w:t xml:space="preserve">Literature also points to a growing emphasis on student-centered pedagogies, such as flipped classrooms and project-based learning. For instance, a 2022 case study by Smith and Jones (University of Sydney) demonstrated that</w:t>
      </w:r>
      <w:r>
        <w:t xml:space="preserve"> </w:t>
      </w:r>
      <w:r>
        <w:rPr>
          <w:bCs/>
          <w:b/>
        </w:rPr>
        <w:t xml:space="preserve">University Lecturers</w:t>
      </w:r>
      <w:r>
        <w:t xml:space="preserve"> </w:t>
      </w:r>
      <w:r>
        <w:t xml:space="preserve">in</w:t>
      </w:r>
      <w:r>
        <w:t xml:space="preserve"> </w:t>
      </w:r>
      <w:r>
        <w:rPr>
          <w:bCs/>
          <w:b/>
        </w:rPr>
        <w:t xml:space="preserve">Australia Melbourne</w:t>
      </w:r>
      <w:r>
        <w:t xml:space="preserve"> </w:t>
      </w:r>
      <w:r>
        <w:t xml:space="preserve">are increasingly adopting these methods to cater to diverse learning styles while fostering collaborative skills. However, the implementation of such strategies is often hindered by limited access to resources and training, as noted in a 2021 report by the Melbourne Institute of Education.</w:t>
      </w:r>
    </w:p>
    <w:bookmarkEnd w:id="22"/>
    <w:bookmarkStart w:id="23" w:name="X554ace5389082d35f522945c0123886778f0d54"/>
    <w:p>
      <w:pPr>
        <w:pStyle w:val="Heading2"/>
      </w:pPr>
      <w:r>
        <w:t xml:space="preserve">Policy and Institutional Support for University Lecturers in Australia Melbourne</w:t>
      </w:r>
    </w:p>
    <w:p>
      <w:pPr>
        <w:pStyle w:val="FirstParagraph"/>
      </w:pPr>
      <w:r>
        <w:t xml:space="preserve">The role of institutional policies in shaping the experiences of</w:t>
      </w:r>
      <w:r>
        <w:t xml:space="preserve"> </w:t>
      </w:r>
      <w:r>
        <w:rPr>
          <w:bCs/>
          <w:b/>
        </w:rPr>
        <w:t xml:space="preserve">University Lecturers</w:t>
      </w:r>
      <w:r>
        <w:t xml:space="preserve"> </w:t>
      </w:r>
      <w:r>
        <w:t xml:space="preserve">is another critical area explored in the literature. Studies by Trowler (2013) and colleagues emphasize that supportive institutional cultures—characterized by mentorship programs, workload management frameworks, and research funding—are crucial for retaining high-quality academic staff in</w:t>
      </w:r>
      <w:r>
        <w:t xml:space="preserve"> </w:t>
      </w:r>
      <w:r>
        <w:rPr>
          <w:bCs/>
          <w:b/>
        </w:rPr>
        <w:t xml:space="preserve">Australia Melbourne</w:t>
      </w:r>
      <w:r>
        <w:t xml:space="preserve">. The University of Melbourne’s Academic Staff Development Program is frequently cited as a model for its focus on career progression and work-life balance.</w:t>
      </w:r>
    </w:p>
    <w:p>
      <w:pPr>
        <w:pStyle w:val="BodyText"/>
      </w:pPr>
      <w:r>
        <w:t xml:space="preserve">However, disparities between public and private universities in</w:t>
      </w:r>
      <w:r>
        <w:t xml:space="preserve"> </w:t>
      </w:r>
      <w:r>
        <w:rPr>
          <w:bCs/>
          <w:b/>
        </w:rPr>
        <w:t xml:space="preserve">Australia Melbourne</w:t>
      </w:r>
      <w:r>
        <w:t xml:space="preserve"> </w:t>
      </w:r>
      <w:r>
        <w:t xml:space="preserve">also emerge in the literature. Research by the Australian Institute of Higher Education (AIHE, 2020) indicates that private institutions often have fewer resources to invest in staff development, placing</w:t>
      </w:r>
      <w:r>
        <w:t xml:space="preserve"> </w:t>
      </w:r>
      <w:r>
        <w:rPr>
          <w:bCs/>
          <w:b/>
        </w:rPr>
        <w:t xml:space="preserve">University Lecturers</w:t>
      </w:r>
      <w:r>
        <w:t xml:space="preserve"> </w:t>
      </w:r>
      <w:r>
        <w:t xml:space="preserve">at a disadvantage compared to their counterparts in public universities like Monash and RMIT.</w:t>
      </w:r>
    </w:p>
    <w:bookmarkEnd w:id="23"/>
    <w:bookmarkStart w:id="24" w:name="Xb26a1b7cf0632829ee4d426c2b23dc9c9717667"/>
    <w:p>
      <w:pPr>
        <w:pStyle w:val="Heading2"/>
      </w:pPr>
      <w:r>
        <w:t xml:space="preserve">Conclusion: The Future of University Lecturers in Australia Melbourne</w:t>
      </w:r>
    </w:p>
    <w:p>
      <w:pPr>
        <w:pStyle w:val="FirstParagraph"/>
      </w:pPr>
      <w:r>
        <w:t xml:space="preserve">The literature reviewed underscores the pivotal yet complex role of</w:t>
      </w:r>
      <w:r>
        <w:t xml:space="preserve"> </w:t>
      </w:r>
      <w:r>
        <w:rPr>
          <w:bCs/>
          <w:b/>
        </w:rPr>
        <w:t xml:space="preserve">University Lecturers</w:t>
      </w:r>
      <w:r>
        <w:t xml:space="preserve"> </w:t>
      </w:r>
      <w:r>
        <w:t xml:space="preserve">within the higher education ecosystem of</w:t>
      </w:r>
      <w:r>
        <w:t xml:space="preserve"> </w:t>
      </w:r>
      <w:r>
        <w:rPr>
          <w:bCs/>
          <w:b/>
        </w:rPr>
        <w:t xml:space="preserve">Australia Melbourne</w:t>
      </w:r>
      <w:r>
        <w:t xml:space="preserve">. While they are central to advancing academic excellence and student success, systemic challenges such as workload pressures, funding disparities, and the need for pedagogical innovation demand urgent attention. Future research should focus on longitudinal studies to track the long-term impacts of policy reforms and institutional support strategies. Additionally, there is a need for more localized analyses that address the unique socio-cultural dynamics of</w:t>
      </w:r>
      <w:r>
        <w:t xml:space="preserve"> </w:t>
      </w:r>
      <w:r>
        <w:rPr>
          <w:bCs/>
          <w:b/>
        </w:rPr>
        <w:t xml:space="preserve">Australia Melbourne</w:t>
      </w:r>
      <w:r>
        <w:t xml:space="preserve"> </w:t>
      </w:r>
      <w:r>
        <w:t xml:space="preserve">in shaping the experiences of</w:t>
      </w:r>
      <w:r>
        <w:t xml:space="preserve"> </w:t>
      </w:r>
      <w:r>
        <w:rPr>
          <w:bCs/>
          <w:b/>
        </w:rPr>
        <w:t xml:space="preserve">University Lecturers</w:t>
      </w:r>
      <w:r>
        <w:t xml:space="preserve">.</w:t>
      </w:r>
    </w:p>
    <w:p>
      <w:pPr>
        <w:pStyle w:val="BodyText"/>
      </w:pPr>
      <w:r>
        <w:t xml:space="preserve">In conclusion, this literature review highlights both the opportunities and challenges faced by</w:t>
      </w:r>
      <w:r>
        <w:t xml:space="preserve"> </w:t>
      </w:r>
      <w:r>
        <w:rPr>
          <w:bCs/>
          <w:b/>
        </w:rPr>
        <w:t xml:space="preserve">University Lecturers</w:t>
      </w:r>
      <w:r>
        <w:t xml:space="preserve"> </w:t>
      </w:r>
      <w:r>
        <w:t xml:space="preserve">in</w:t>
      </w:r>
      <w:r>
        <w:t xml:space="preserve"> </w:t>
      </w:r>
      <w:r>
        <w:rPr>
          <w:bCs/>
          <w:b/>
        </w:rPr>
        <w:t xml:space="preserve">Australia Melbourne</w:t>
      </w:r>
      <w:r>
        <w:t xml:space="preserve">. By addressing these issues through targeted policy interventions and institutional support, Australia’s higher education sector can ensure that lecturers remain at the forefront of academic innovation and student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Australia Melbourne</dc:title>
  <dc:creator/>
  <dc:language>en</dc:language>
  <cp:keywords/>
  <dcterms:created xsi:type="dcterms:W3CDTF">2026-07-24T06:02:46Z</dcterms:created>
  <dcterms:modified xsi:type="dcterms:W3CDTF">2026-07-24T06:02:46Z</dcterms:modified>
</cp:coreProperties>
</file>

<file path=docProps/custom.xml><?xml version="1.0" encoding="utf-8"?>
<Properties xmlns="http://schemas.openxmlformats.org/officeDocument/2006/custom-properties" xmlns:vt="http://schemas.openxmlformats.org/officeDocument/2006/docPropsVTypes"/>
</file>