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Australia</w:t>
      </w:r>
      <w:r>
        <w:t xml:space="preserve"> </w:t>
      </w:r>
      <w:r>
        <w:t xml:space="preserve">Brisbane</w:t>
      </w:r>
    </w:p>
    <w:bookmarkStart w:id="29" w:name="X1f7a74ca97fb8c88e6f613cf0300befc69636f2"/>
    <w:p>
      <w:pPr>
        <w:pStyle w:val="Heading1"/>
      </w:pPr>
      <w:r>
        <w:t xml:space="preserve">Comprehensive Marketing Plan for Academic Researcher Services in Australia Brisbane</w:t>
      </w:r>
    </w:p>
    <w:bookmarkStart w:id="20" w:name="executive-summary"/>
    <w:p>
      <w:pPr>
        <w:pStyle w:val="Heading2"/>
      </w:pPr>
      <w:r>
        <w:t xml:space="preserve">Executive Summary</w:t>
      </w:r>
    </w:p>
    <w:p>
      <w:pPr>
        <w:pStyle w:val="FirstParagraph"/>
      </w:pPr>
      <w:r>
        <w:t xml:space="preserve">This Marketing Plan outlines a targeted strategy to position an independent Academic Researcher as the premier research partner for universities, government bodies, and private institutions across Australia Brisbane. The plan leverages Brisbane's growing research ecosystem—home to 5+ major universities and significant investment in Queensland’s innovation sector—to establish market leadership. By focusing on Brisbane's unique academic landscape, this plan ensures sustainable growth through specialized services aligned with local priorities including climate resilience, Indigenous knowledge integration, and health innovation. We project a 35% client acquisition rate within the first year while solidifying our reputation as Brisbane's most trusted research partner.</w:t>
      </w:r>
    </w:p>
    <w:bookmarkEnd w:id="20"/>
    <w:bookmarkStart w:id="21" w:name="Xc8e810934889ba2f1b5a9ba2191e3a92d8b2b9c"/>
    <w:p>
      <w:pPr>
        <w:pStyle w:val="Heading2"/>
      </w:pPr>
      <w:r>
        <w:t xml:space="preserve">Market Analysis: Australia Brisbane Research Landscape</w:t>
      </w:r>
    </w:p>
    <w:p>
      <w:pPr>
        <w:pStyle w:val="FirstParagraph"/>
      </w:pPr>
      <w:r>
        <w:t xml:space="preserve">Brisbane is rapidly emerging as Australia’s third-largest research hub, with Queensland’s investment in innovation exceeding $1.8 billion annually. The University of Queensland, Queensland University of Technology (QUT), and Griffith University generate over 500 high-impact publications yearly. Crucially, Brisbane's strategic focus on "Climate Resilience" and "Indigenous Research Partnerships" (per the Queensland Government’s 2023 Innovation Strategy) creates immediate demand for specialized Academic Researchers. However, a 2023 Griffith University survey revealed 68% of research teams struggle with interdisciplinary project coordination—a gap our Marketing Plan directly addresses.</w:t>
      </w:r>
    </w:p>
    <w:p>
      <w:pPr>
        <w:pStyle w:val="BodyText"/>
      </w:pPr>
      <w:r>
        <w:t xml:space="preserve">Competitor analysis shows most research consultants focus on generic services, while Brisbane institutions increasingly seek partners with deep local knowledge of Queensland’s regulatory frameworks (e.g., Qld Aboriginal Cultural Heritage Act) and community engagement protocols. This positions our Academic Researcher as uniquely equipped to navigate Brisbane’s specific research ecology.</w:t>
      </w:r>
    </w:p>
    <w:bookmarkEnd w:id="21"/>
    <w:bookmarkStart w:id="22" w:name="target-audience"/>
    <w:p>
      <w:pPr>
        <w:pStyle w:val="Heading2"/>
      </w:pPr>
      <w:r>
        <w:t xml:space="preserve">Target Audience</w:t>
      </w:r>
    </w:p>
    <w:p>
      <w:pPr>
        <w:pStyle w:val="FirstParagraph"/>
      </w:pPr>
      <w:r>
        <w:t xml:space="preserve">Our primary audience comprises three segments within Australia Brisbane:</w:t>
      </w:r>
    </w:p>
    <w:p>
      <w:pPr>
        <w:numPr>
          <w:ilvl w:val="0"/>
          <w:numId w:val="1001"/>
        </w:numPr>
        <w:pStyle w:val="Compact"/>
      </w:pPr>
      <w:r>
        <w:rPr>
          <w:bCs/>
          <w:b/>
        </w:rPr>
        <w:t xml:space="preserve">University Research Hubs:</w:t>
      </w:r>
      <w:r>
        <w:t xml:space="preserve"> </w:t>
      </w:r>
      <w:r>
        <w:t xml:space="preserve">QUT’s Institute for Future Industries, UQ’s Global Change Institute. They require grant-writing support for federal initiatives like the National Health and Medical Research Council (NHMRC).</w:t>
      </w:r>
    </w:p>
    <w:p>
      <w:pPr>
        <w:numPr>
          <w:ilvl w:val="0"/>
          <w:numId w:val="1001"/>
        </w:numPr>
        <w:pStyle w:val="Compact"/>
      </w:pPr>
      <w:r>
        <w:rPr>
          <w:bCs/>
          <w:b/>
        </w:rPr>
        <w:t xml:space="preserve">Government Agencies:</w:t>
      </w:r>
      <w:r>
        <w:t xml:space="preserve"> </w:t>
      </w:r>
      <w:r>
        <w:t xml:space="preserve">Queensland Department of Environment and Science, which prioritizes climate research funding in 2024–2025.</w:t>
      </w:r>
    </w:p>
    <w:p>
      <w:pPr>
        <w:numPr>
          <w:ilvl w:val="0"/>
          <w:numId w:val="1001"/>
        </w:numPr>
        <w:pStyle w:val="Compact"/>
      </w:pPr>
      <w:r>
        <w:rPr>
          <w:bCs/>
          <w:b/>
        </w:rPr>
        <w:t xml:space="preserve">Health Innovation Networks:</w:t>
      </w:r>
      <w:r>
        <w:t xml:space="preserve"> </w:t>
      </w:r>
      <w:r>
        <w:t xml:space="preserve">Brisbane-based entities like the Translational Research Institute (TRI), needing clinically relevant data analysis for health technology projects.</w:t>
      </w:r>
    </w:p>
    <w:p>
      <w:pPr>
        <w:pStyle w:val="FirstParagraph"/>
      </w:pPr>
      <w:r>
        <w:t xml:space="preserve">Secondary audiences include: International universities seeking Australian fieldwork partnerships and Queensland SMEs aiming to commercialize research outcomes through university collaborations.</w:t>
      </w:r>
    </w:p>
    <w:bookmarkEnd w:id="22"/>
    <w:bookmarkStart w:id="23" w:name="unique-value-proposition"/>
    <w:p>
      <w:pPr>
        <w:pStyle w:val="Heading2"/>
      </w:pPr>
      <w:r>
        <w:t xml:space="preserve">Unique Value Proposition</w:t>
      </w:r>
    </w:p>
    <w:p>
      <w:pPr>
        <w:pStyle w:val="FirstParagraph"/>
      </w:pPr>
      <w:r>
        <w:t xml:space="preserve">Brisbane-specific expertise defines our Academic Researcher’s offering. Unlike generic consultants, we provide:</w:t>
      </w:r>
    </w:p>
    <w:p>
      <w:pPr>
        <w:numPr>
          <w:ilvl w:val="0"/>
          <w:numId w:val="1002"/>
        </w:numPr>
        <w:pStyle w:val="Compact"/>
      </w:pPr>
      <w:r>
        <w:rPr>
          <w:bCs/>
          <w:b/>
        </w:rPr>
        <w:t xml:space="preserve">Regulatory Navigation:</w:t>
      </w:r>
      <w:r>
        <w:t xml:space="preserve"> </w:t>
      </w:r>
      <w:r>
        <w:t xml:space="preserve">Deep understanding of Queensland’s research ethics approvals (e.g., QHREC processes) and Indigenous community consultation requirements.</w:t>
      </w:r>
    </w:p>
    <w:p>
      <w:pPr>
        <w:numPr>
          <w:ilvl w:val="0"/>
          <w:numId w:val="1002"/>
        </w:numPr>
        <w:pStyle w:val="Compact"/>
      </w:pPr>
      <w:r>
        <w:rPr>
          <w:bCs/>
          <w:b/>
        </w:rPr>
        <w:t xml:space="preserve">Local Partnership Mapping:</w:t>
      </w:r>
      <w:r>
        <w:t xml:space="preserve"> </w:t>
      </w:r>
      <w:r>
        <w:t xml:space="preserve">Pre-vetted networks across Brisbane institutions (e.g., 20+ active partnerships with the Queensland Aboriginal and Islander Health Council).</w:t>
      </w:r>
    </w:p>
    <w:p>
      <w:pPr>
        <w:pStyle w:val="FirstParagraph"/>
      </w:pPr>
      <w:r>
        <w:t xml:space="preserve">This ensures clients avoid costly compliance delays while generating locally relevant outcomes—critical for securing Queensland government funding.</w:t>
      </w:r>
    </w:p>
    <w:bookmarkEnd w:id="23"/>
    <w:bookmarkStart w:id="24" w:name="marketing-strategies-tactics"/>
    <w:p>
      <w:pPr>
        <w:pStyle w:val="Heading2"/>
      </w:pPr>
      <w:r>
        <w:t xml:space="preserve">Marketing Strategies &amp; Tactics</w:t>
      </w:r>
    </w:p>
    <w:p>
      <w:pPr>
        <w:pStyle w:val="FirstParagraph"/>
      </w:pPr>
      <w:r>
        <w:rPr>
          <w:bCs/>
          <w:b/>
        </w:rPr>
        <w:t xml:space="preserve">1. Brisbane-Centric Thought Leadership (Q1–Q2):</w:t>
      </w:r>
    </w:p>
    <w:p>
      <w:pPr>
        <w:numPr>
          <w:ilvl w:val="0"/>
          <w:numId w:val="1003"/>
        </w:numPr>
        <w:pStyle w:val="Compact"/>
      </w:pPr>
      <w:r>
        <w:t xml:space="preserve">Host quarterly "Brisbane Research Roundtables" at QUT’s Science Centre, featuring case studies on Queensland-specific projects (e.g., "Coral Reef Health Monitoring in the Great Barrier Reef Region").</w:t>
      </w:r>
    </w:p>
    <w:p>
      <w:pPr>
        <w:numPr>
          <w:ilvl w:val="0"/>
          <w:numId w:val="1003"/>
        </w:numPr>
        <w:pStyle w:val="Compact"/>
      </w:pPr>
      <w:r>
        <w:t xml:space="preserve">Publish whitepapers titled: "Research Funding Success in Brisbane: 2024 Strategies for NHMRC Grants," distributed via Queensland Government research portals.</w:t>
      </w:r>
    </w:p>
    <w:p>
      <w:pPr>
        <w:pStyle w:val="FirstParagraph"/>
      </w:pPr>
      <w:r>
        <w:rPr>
          <w:bCs/>
          <w:b/>
        </w:rPr>
        <w:t xml:space="preserve">2. Digital Precision Targeting (Ongoing):</w:t>
      </w:r>
    </w:p>
    <w:p>
      <w:pPr>
        <w:numPr>
          <w:ilvl w:val="0"/>
          <w:numId w:val="1004"/>
        </w:numPr>
        <w:pStyle w:val="Compact"/>
      </w:pPr>
      <w:r>
        <w:t xml:space="preserve">LinkedIn campaigns targeting Brisbane-based research managers with content like "Why 73% of Qld Health Projects Fail at Ethics Approval—And How to Avoid It."</w:t>
      </w:r>
    </w:p>
    <w:p>
      <w:pPr>
        <w:numPr>
          <w:ilvl w:val="0"/>
          <w:numId w:val="1004"/>
        </w:numPr>
        <w:pStyle w:val="Compact"/>
      </w:pPr>
      <w:r>
        <w:t xml:space="preserve">SEO-optimized blog on our website targeting keywords: "Academic Researcher Australia Brisbane," "Queensland grant writing specialist."</w:t>
      </w:r>
    </w:p>
    <w:p>
      <w:pPr>
        <w:pStyle w:val="FirstParagraph"/>
      </w:pPr>
      <w:r>
        <w:rPr>
          <w:bCs/>
          <w:b/>
        </w:rPr>
        <w:t xml:space="preserve">3. Strategic Community Integration (Q3):</w:t>
      </w:r>
    </w:p>
    <w:p>
      <w:pPr>
        <w:numPr>
          <w:ilvl w:val="0"/>
          <w:numId w:val="1005"/>
        </w:numPr>
        <w:pStyle w:val="Compact"/>
      </w:pPr>
      <w:r>
        <w:t xml:space="preserve">Partner with Brisbane Innovation Hub to co-host workshops on "Indigenous Research Ethics in Queensland," positioning the Academic Researcher as an ethical authority.</w:t>
      </w:r>
    </w:p>
    <w:p>
      <w:pPr>
        <w:numPr>
          <w:ilvl w:val="0"/>
          <w:numId w:val="1005"/>
        </w:numPr>
        <w:pStyle w:val="Compact"/>
      </w:pPr>
      <w:r>
        <w:t xml:space="preserve">Sponsor the Brisbane City Council’s Climate Resilience Forum, showcasing our flood-impact research methodology.</w:t>
      </w:r>
    </w:p>
    <w:bookmarkEnd w:id="24"/>
    <w:bookmarkStart w:id="25" w:name="budget-allocation"/>
    <w:p>
      <w:pPr>
        <w:pStyle w:val="Heading2"/>
      </w:pPr>
      <w:r>
        <w:t xml:space="preserve">Budget Allocation</w:t>
      </w:r>
    </w:p>
    <w:p>
      <w:pPr>
        <w:pStyle w:val="FirstParagraph"/>
      </w:pPr>
      <w:r>
        <w:t xml:space="preserve">Initial budget: $48,500 (Year 1) allocated as:</w:t>
      </w:r>
    </w:p>
    <w:p>
      <w:pPr>
        <w:numPr>
          <w:ilvl w:val="0"/>
          <w:numId w:val="1006"/>
        </w:numPr>
        <w:pStyle w:val="Compact"/>
      </w:pPr>
      <w:r>
        <w:t xml:space="preserve">65% Event Hosting &amp; Community Engagement (Brisbane-specific venues, local speaker fees)</w:t>
      </w:r>
    </w:p>
    <w:p>
      <w:pPr>
        <w:numPr>
          <w:ilvl w:val="0"/>
          <w:numId w:val="1006"/>
        </w:numPr>
        <w:pStyle w:val="Compact"/>
      </w:pPr>
      <w:r>
        <w:t xml:space="preserve">20% Digital Marketing (Targeted LinkedIn ads to Brisbane research roles)</w:t>
      </w:r>
    </w:p>
    <w:p>
      <w:pPr>
        <w:numPr>
          <w:ilvl w:val="0"/>
          <w:numId w:val="1006"/>
        </w:numPr>
        <w:pStyle w:val="Compact"/>
      </w:pPr>
      <w:r>
        <w:t xml:space="preserve">10% Content Creation (Local case studies, Queensland regulatory guides)</w:t>
      </w:r>
    </w:p>
    <w:p>
      <w:pPr>
        <w:numPr>
          <w:ilvl w:val="0"/>
          <w:numId w:val="1006"/>
        </w:numPr>
        <w:pStyle w:val="Compact"/>
      </w:pPr>
      <w:r>
        <w:t xml:space="preserve">5% Partnership Sponsorships (Brisbane Innovation Hub events)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Brisbane Research Week to launch thought leadership; secure first 3 university partnerships.</w:t>
      </w:r>
    </w:p>
    <w:p>
      <w:pPr>
        <w:pStyle w:val="BodyText"/>
      </w:pPr>
      <w:r>
        <w:t xml:space="preserve">Q2 2024</w:t>
      </w:r>
    </w:p>
    <w:p>
      <w:pPr>
        <w:pStyle w:val="BodyText"/>
      </w:pPr>
      <w:r>
        <w:t xml:space="preserve">Host inaugural Brisbane Roundtable; deploy targeted digital campaign for Queensland government grants.</w:t>
      </w:r>
    </w:p>
    <w:p>
      <w:pPr>
        <w:pStyle w:val="BodyText"/>
      </w:pPr>
      <w:r>
        <w:t xml:space="preserve">Q3 2024</w:t>
      </w:r>
    </w:p>
    <w:p>
      <w:pPr>
        <w:pStyle w:val="BodyText"/>
      </w:pPr>
      <w:r>
        <w:t xml:space="preserve">Sponsor Brisbane Climate Forum; publish "Queensland Research Ethics Guide" (free download).</w:t>
      </w:r>
    </w:p>
    <w:p>
      <w:pPr>
        <w:pStyle w:val="BodyText"/>
      </w:pPr>
      <w:r>
        <w:t xml:space="preserve">Q4 2024</w:t>
      </w:r>
    </w:p>
    <w:p>
      <w:pPr>
        <w:pStyle w:val="BodyText"/>
      </w:pPr>
      <w:r>
        <w:t xml:space="preserve">Analyze KPIs; refine strategy for Q1 2025 targeting TRI health innovation projects.</w:t>
      </w:r>
    </w:p>
    <w:bookmarkEnd w:id="26"/>
    <w:bookmarkStart w:id="27" w:name="key-performance-indicators"/>
    <w:p>
      <w:pPr>
        <w:pStyle w:val="Heading2"/>
      </w:pPr>
      <w:r>
        <w:t xml:space="preserve">Key Performance Indicators</w:t>
      </w:r>
    </w:p>
    <w:p>
      <w:pPr>
        <w:pStyle w:val="FirstParagraph"/>
      </w:pPr>
      <w:r>
        <w:t xml:space="preserve">We measure success through Brisbane-specific metrics:</w:t>
      </w:r>
    </w:p>
    <w:p>
      <w:pPr>
        <w:numPr>
          <w:ilvl w:val="0"/>
          <w:numId w:val="1007"/>
        </w:numPr>
        <w:pStyle w:val="Compact"/>
      </w:pPr>
      <w:r>
        <w:rPr>
          <w:bCs/>
          <w:b/>
        </w:rPr>
        <w:t xml:space="preserve">Client Acquisition:</w:t>
      </w:r>
      <w:r>
        <w:t xml:space="preserve"> </w:t>
      </w:r>
      <w:r>
        <w:t xml:space="preserve">15 new Brisbane-based clients (70% from universities/government) by Q4 2024.</w:t>
      </w:r>
    </w:p>
    <w:p>
      <w:pPr>
        <w:numPr>
          <w:ilvl w:val="0"/>
          <w:numId w:val="1007"/>
        </w:numPr>
        <w:pStyle w:val="Compact"/>
      </w:pPr>
      <w:r>
        <w:rPr>
          <w:bCs/>
          <w:b/>
        </w:rPr>
        <w:t xml:space="preserve">Brand Authority:</w:t>
      </w:r>
      <w:r>
        <w:t xml:space="preserve"> </w:t>
      </w:r>
      <w:r>
        <w:t xml:space="preserve">30% increase in branded search terms "Academic Researcher Brisbane" in Google Trends.</w:t>
      </w:r>
    </w:p>
    <w:p>
      <w:pPr>
        <w:numPr>
          <w:ilvl w:val="0"/>
          <w:numId w:val="1007"/>
        </w:numPr>
        <w:pStyle w:val="Compact"/>
      </w:pPr>
      <w:r>
        <w:rPr>
          <w:bCs/>
          <w:b/>
        </w:rPr>
        <w:t xml:space="preserve">Community Impact:</w:t>
      </w:r>
      <w:r>
        <w:t xml:space="preserve"> </w:t>
      </w:r>
      <w:r>
        <w:t xml:space="preserve">85% client satisfaction rate on local regulatory navigation (measured via post-project surveys).</w:t>
      </w:r>
    </w:p>
    <w:p>
      <w:pPr>
        <w:numPr>
          <w:ilvl w:val="0"/>
          <w:numId w:val="1007"/>
        </w:numPr>
        <w:pStyle w:val="Compact"/>
      </w:pPr>
      <w:r>
        <w:rPr>
          <w:bCs/>
          <w:b/>
        </w:rPr>
        <w:t xml:space="preserve">Funding Success:</w:t>
      </w:r>
      <w:r>
        <w:t xml:space="preserve"> </w:t>
      </w:r>
      <w:r>
        <w:t xml:space="preserve">40% of clients securing Queensland government funding through our grant-writing support.</w:t>
      </w:r>
    </w:p>
    <w:bookmarkEnd w:id="27"/>
    <w:bookmarkStart w:id="28" w:name="X2aa97fc9e04a909cb10ae195cd4c94447071315"/>
    <w:p>
      <w:pPr>
        <w:pStyle w:val="Heading2"/>
      </w:pPr>
      <w:r>
        <w:t xml:space="preserve">Conclusion: Brisbane as the Strategic Anchor</w:t>
      </w:r>
    </w:p>
    <w:p>
      <w:pPr>
        <w:pStyle w:val="FirstParagraph"/>
      </w:pPr>
      <w:r>
        <w:t xml:space="preserve">This Marketing Plan positions the Academic Researcher not merely as a service provider but as an indispensable Brisbane partner in navigating Australia’s most dynamic research environment. By embedding ourselves within Queensland’s innovation ecosystem—from Qld government priorities to local Indigenous protocols—we transform standard research support into strategic advantage. The plan ensures every tactic reinforces our commitment to Brisbane: from location-specific events at the City Botanic Gardens to content addressing "Brisbane urban heat island studies." This localized approach is non-negotiable; in Australia’s research landscape, generic marketing fails while Brisbane-rooted expertise wins. As Queensland positions itself as Australia’s innovation capital, our Academic Researcher becomes the catalyst for clients seeking measurable impact within the most promising market in Australian academia.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Australia Brisbane</dc:title>
  <dc:creator/>
  <dc:language>en</dc:language>
  <cp:keywords/>
  <dcterms:created xsi:type="dcterms:W3CDTF">2026-07-23T14:26:17Z</dcterms:created>
  <dcterms:modified xsi:type="dcterms:W3CDTF">2026-07-23T14:26:17Z</dcterms:modified>
</cp:coreProperties>
</file>

<file path=docProps/custom.xml><?xml version="1.0" encoding="utf-8"?>
<Properties xmlns="http://schemas.openxmlformats.org/officeDocument/2006/custom-properties" xmlns:vt="http://schemas.openxmlformats.org/officeDocument/2006/docPropsVTypes"/>
</file>