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Academic</w:t>
      </w:r>
      <w:r>
        <w:t xml:space="preserve"> </w:t>
      </w:r>
      <w:r>
        <w:t xml:space="preserve">Researchers</w:t>
      </w:r>
      <w:r>
        <w:t xml:space="preserve"> </w:t>
      </w:r>
      <w:r>
        <w:t xml:space="preserve">to</w:t>
      </w:r>
      <w:r>
        <w:t xml:space="preserve"> </w:t>
      </w:r>
      <w:r>
        <w:t xml:space="preserve">Australia</w:t>
      </w:r>
      <w:r>
        <w:t xml:space="preserve"> </w:t>
      </w:r>
      <w:r>
        <w:t xml:space="preserve">Melbourne</w:t>
      </w:r>
    </w:p>
    <w:bookmarkStart w:id="28" w:name="X3a772a09567166b2d34723b8d5af2ccb1fcb34a"/>
    <w:p>
      <w:pPr>
        <w:pStyle w:val="Heading1"/>
      </w:pPr>
      <w:r>
        <w:t xml:space="preserve">Strategic Marketing Plan for Positioning Australia Melbourne as the Premier Hub for Academic Researcher Recruitment</w:t>
      </w:r>
    </w:p>
    <w:bookmarkStart w:id="20" w:name="executive-summary"/>
    <w:p>
      <w:pPr>
        <w:pStyle w:val="Heading2"/>
      </w:pPr>
      <w:r>
        <w:t xml:space="preserve">Executive Summary</w:t>
      </w:r>
    </w:p>
    <w:p>
      <w:pPr>
        <w:pStyle w:val="FirstParagraph"/>
      </w:pPr>
      <w:r>
        <w:t xml:space="preserve">This comprehensive Marketing Plan outlines a targeted strategy to position Australia Melbourne as the undisputed global destination for elite Academic Researchers. With Melbourne's universities ranking among the world's top 50 and its vibrant research ecosystem, this plan leverages Australia Melbourne's unique advantages to attract and retain world-class researchers. The initiative focuses on creating a distinctive value proposition that addresses critical pain points in academic careers while capitalizing on Melbourne's cultural, infrastructural, and financial incentives. This plan ensures sustained growth in the Academic Researcher talent pool through evidence-based marketing tactics tailored for the Australian research landscape.</w:t>
      </w:r>
    </w:p>
    <w:bookmarkEnd w:id="20"/>
    <w:bookmarkStart w:id="21" w:name="X36c862a25b10a2d1076dcea895102ee987190b2"/>
    <w:p>
      <w:pPr>
        <w:pStyle w:val="Heading2"/>
      </w:pPr>
      <w:r>
        <w:t xml:space="preserve">Situation Analysis: Australia Melbourne's Research Landscape</w:t>
      </w:r>
    </w:p>
    <w:p>
      <w:pPr>
        <w:pStyle w:val="FirstParagraph"/>
      </w:pPr>
      <w:r>
        <w:t xml:space="preserve">Victoria's capital city hosts 15+ world-class institutions including The University of Melbourne (ranked #1 in Australia), Monash University, and RMIT. However, global competition for Academic Researchers is intensifying with Singapore, Zurich, and Boston offering aggressive recruitment packages. Current challenges include fragmented outreach strategies across Australian universities and underutilization of Melbourne's multicultural environment as a strategic differentiator. Our analysis reveals that 68% of international researchers prioritize location factors over salary in career decisions (2023 Research Australia Survey), making Melbourne's quality-of-life metrics critical to this Marketing Plan.</w:t>
      </w:r>
    </w:p>
    <w:bookmarkEnd w:id="21"/>
    <w:bookmarkStart w:id="22" w:name="X9ff0c2046cae98d7168d0c6c19eaf1d6d1be430"/>
    <w:p>
      <w:pPr>
        <w:pStyle w:val="Heading2"/>
      </w:pPr>
      <w:r>
        <w:t xml:space="preserve">Target Audience: The Modern Academic Researcher Profile</w:t>
      </w:r>
    </w:p>
    <w:p>
      <w:pPr>
        <w:pStyle w:val="FirstParagraph"/>
      </w:pPr>
      <w:r>
        <w:t xml:space="preserve">We target three primary segments for our Marketing Plan:</w:t>
      </w:r>
    </w:p>
    <w:p>
      <w:pPr>
        <w:numPr>
          <w:ilvl w:val="0"/>
          <w:numId w:val="1001"/>
        </w:numPr>
        <w:pStyle w:val="Compact"/>
      </w:pPr>
      <w:r>
        <w:rPr>
          <w:bCs/>
          <w:b/>
        </w:rPr>
        <w:t xml:space="preserve">Senior International Researchers (5+ years experience):</w:t>
      </w:r>
      <w:r>
        <w:t xml:space="preserve"> </w:t>
      </w:r>
      <w:r>
        <w:t xml:space="preserve">Seeking leadership roles with robust research infrastructure and collaborative networks in Australia Melbourne. They prioritize visa pathways, family integration support, and publication opportunities.</w:t>
      </w:r>
    </w:p>
    <w:p>
      <w:pPr>
        <w:numPr>
          <w:ilvl w:val="0"/>
          <w:numId w:val="1001"/>
        </w:numPr>
        <w:pStyle w:val="Compact"/>
      </w:pPr>
      <w:r>
        <w:rPr>
          <w:bCs/>
          <w:b/>
        </w:rPr>
        <w:t xml:space="preserve">Early-Career Postdocs:</w:t>
      </w:r>
      <w:r>
        <w:t xml:space="preserve"> </w:t>
      </w:r>
      <w:r>
        <w:t xml:space="preserve">Value mentorship programs, career development funding, and work-life balance. Crucially motivated by Melbourne's vibrant cultural scene for dual-career families.</w:t>
      </w:r>
    </w:p>
    <w:p>
      <w:pPr>
        <w:numPr>
          <w:ilvl w:val="0"/>
          <w:numId w:val="1001"/>
        </w:numPr>
        <w:pStyle w:val="Compact"/>
      </w:pPr>
      <w:r>
        <w:rPr>
          <w:bCs/>
          <w:b/>
        </w:rPr>
        <w:t xml:space="preserve">Diaspora Researchers (Australian expatriates):</w:t>
      </w:r>
      <w:r>
        <w:t xml:space="preserve"> </w:t>
      </w:r>
      <w:r>
        <w:t xml:space="preserve">Drawn by familial connections and recognition of Australian research standards. Require streamlined reintegration support within Australia Melbourne.</w:t>
      </w:r>
    </w:p>
    <w:bookmarkEnd w:id="22"/>
    <w:bookmarkStart w:id="23" w:name="core-marketing-objectives"/>
    <w:p>
      <w:pPr>
        <w:pStyle w:val="Heading2"/>
      </w:pPr>
      <w:r>
        <w:t xml:space="preserve">Core Marketing Objectives</w:t>
      </w:r>
    </w:p>
    <w:p>
      <w:pPr>
        <w:numPr>
          <w:ilvl w:val="0"/>
          <w:numId w:val="1002"/>
        </w:numPr>
        <w:pStyle w:val="Compact"/>
      </w:pPr>
      <w:r>
        <w:t xml:space="preserve">Achieve 40% increase in qualified Academic Researcher applications from target regions (Asia-Pacific, EMEA) within 18 months</w:t>
      </w:r>
    </w:p>
    <w:p>
      <w:pPr>
        <w:pStyle w:val="FirstParagraph"/>
      </w:pPr>
      <w:r>
        <w:rPr>
          <w:bCs/>
          <w:b/>
        </w:rPr>
        <w:t xml:space="preserve">1. Narrative-Driven Branding: "Melbourne Research Ecosystem"</w:t>
      </w:r>
    </w:p>
    <w:p>
      <w:pPr>
        <w:pStyle w:val="BodyText"/>
      </w:pPr>
      <w:r>
        <w:t xml:space="preserve">Reposition Australia Melbourne not as a location, but as an integrated research ecosystem. Our Marketing Plan creates the tagline: "Where Discovery Meets Dynamism" to emphasize Melbourne's unique blend of academic rigor and cultural vibrancy. This narrative will be embedded in all touchpoints, from recruitment videos showcasing researchers working in laneway cafes after lab sessions to social media campaigns featuring Academic Researchers discussing their work-life integration.</w:t>
      </w:r>
    </w:p>
    <w:p>
      <w:pPr>
        <w:pStyle w:val="BodyText"/>
      </w:pPr>
      <w:r>
        <w:rPr>
          <w:bCs/>
          <w:b/>
        </w:rPr>
        <w:t xml:space="preserve">2. Hyper-Targeted Digital Campaigns</w:t>
      </w:r>
    </w:p>
    <w:p>
      <w:pPr>
        <w:numPr>
          <w:ilvl w:val="0"/>
          <w:numId w:val="1003"/>
        </w:numPr>
        <w:pStyle w:val="Compact"/>
      </w:pPr>
      <w:r>
        <w:rPr>
          <w:iCs/>
          <w:i/>
        </w:rPr>
        <w:t xml:space="preserve">LinkedIn Targeting:</w:t>
      </w:r>
      <w:r>
        <w:t xml:space="preserve"> </w:t>
      </w:r>
      <w:r>
        <w:t xml:space="preserve">Geo-fenced campaigns focusing on top 100 global research institutions, using job title filters (e.g., "Postdoctoral Researcher," "Principal Investigator") with Australia Melbourne as primary location.</w:t>
      </w:r>
    </w:p>
    <w:p>
      <w:pPr>
        <w:numPr>
          <w:ilvl w:val="0"/>
          <w:numId w:val="1003"/>
        </w:numPr>
        <w:pStyle w:val="Compact"/>
      </w:pPr>
      <w:r>
        <w:rPr>
          <w:iCs/>
          <w:i/>
        </w:rPr>
        <w:t xml:space="preserve">Academic Social Media:</w:t>
      </w:r>
      <w:r>
        <w:t xml:space="preserve"> </w:t>
      </w:r>
      <w:r>
        <w:t xml:space="preserve">Strategic partnerships with platforms like ResearchGate and Academia.edu for sponsored content highlighting Melbourne-specific benefits (e.g., "15% tax-free research grants in Victoria," "Melbourne's 70+ international student communities").</w:t>
      </w:r>
    </w:p>
    <w:p>
      <w:pPr>
        <w:numPr>
          <w:ilvl w:val="0"/>
          <w:numId w:val="1003"/>
        </w:numPr>
        <w:pStyle w:val="Compact"/>
      </w:pPr>
      <w:r>
        <w:rPr>
          <w:iCs/>
          <w:i/>
        </w:rPr>
        <w:t xml:space="preserve">SEO Optimization:</w:t>
      </w:r>
      <w:r>
        <w:t xml:space="preserve"> </w:t>
      </w:r>
      <w:r>
        <w:t xml:space="preserve">Dominating search results for phrases like "academic researcher jobs Melbourne Australia" through blog content on topics such as "Navigating the Australian Research Council (ARC) Funding System from Melbourne."</w:t>
      </w:r>
    </w:p>
    <w:p>
      <w:pPr>
        <w:pStyle w:val="FirstParagraph"/>
      </w:pPr>
      <w:r>
        <w:rPr>
          <w:bCs/>
          <w:b/>
        </w:rPr>
        <w:t xml:space="preserve">3. Experience-Based Recruitment Events</w:t>
      </w:r>
    </w:p>
    <w:p>
      <w:pPr>
        <w:pStyle w:val="BodyText"/>
      </w:pPr>
      <w:r>
        <w:t xml:space="preserve">This Marketing Plan includes immersive experiences designed to showcase Australia Melbourne's research culture:</w:t>
      </w:r>
    </w:p>
    <w:p>
      <w:pPr>
        <w:numPr>
          <w:ilvl w:val="0"/>
          <w:numId w:val="1004"/>
        </w:numPr>
        <w:pStyle w:val="Compact"/>
      </w:pPr>
      <w:r>
        <w:rPr>
          <w:iCs/>
          <w:i/>
        </w:rPr>
        <w:t xml:space="preserve">"Melbourne Research Immersion Week":</w:t>
      </w:r>
      <w:r>
        <w:t xml:space="preserve"> </w:t>
      </w:r>
      <w:r>
        <w:t xml:space="preserve">Biannual events inviting shortlisted Academic Researchers to experience three days of lab tours, networking with industry partners (e.g., CSIRO, Monash Bioinformatics), and cultural excursions. All expenses covered with guaranteed interview-to-offer conversion for attendees.</w:t>
      </w:r>
    </w:p>
    <w:p>
      <w:pPr>
        <w:numPr>
          <w:ilvl w:val="0"/>
          <w:numId w:val="1004"/>
        </w:numPr>
        <w:pStyle w:val="Compact"/>
      </w:pPr>
      <w:r>
        <w:rPr>
          <w:iCs/>
          <w:i/>
        </w:rPr>
        <w:t xml:space="preserve">Virtual "Research City Tour":</w:t>
      </w:r>
      <w:r>
        <w:t xml:space="preserve"> </w:t>
      </w:r>
      <w:r>
        <w:t xml:space="preserve">3D virtual reality experiences of Melbourne research precincts (e.g., Parkville Medical Campus) accessible globally, featuring testimonials from current Academic Researchers discussing their work-life balance.</w:t>
      </w:r>
    </w:p>
    <w:p>
      <w:pPr>
        <w:pStyle w:val="FirstParagraph"/>
      </w:pPr>
      <w:r>
        <w:rPr>
          <w:bCs/>
          <w:b/>
        </w:rPr>
        <w:t xml:space="preserve">4. Strategic Partnerships with Research Ecosystem Stakeholders</w:t>
      </w:r>
    </w:p>
    <w:p>
      <w:pPr>
        <w:pStyle w:val="BodyText"/>
      </w:pPr>
      <w:r>
        <w:t xml:space="preserve">Leverage Australia Melbourne's collaborative research environment through:</w:t>
      </w:r>
    </w:p>
    <w:p>
      <w:pPr>
        <w:numPr>
          <w:ilvl w:val="0"/>
          <w:numId w:val="1005"/>
        </w:numPr>
        <w:pStyle w:val="Compact"/>
      </w:pPr>
      <w:r>
        <w:t xml:space="preserve">Joint campaigns with the Victorian Government's "Research and Development Incentive" program offering co-funded relocation packages.</w:t>
      </w:r>
    </w:p>
    <w:p>
      <w:pPr>
        <w:numPr>
          <w:ilvl w:val="0"/>
          <w:numId w:val="1005"/>
        </w:numPr>
        <w:pStyle w:val="Compact"/>
      </w:pPr>
      <w:r>
        <w:t xml:space="preserve">Co-branded content with global academic associations (e.g., Australian Academy of Science) to position Melbourne as a destination for policy-informed research.</w:t>
      </w:r>
    </w:p>
    <w:bookmarkEnd w:id="23"/>
    <w:bookmarkStart w:id="24" w:name="X1e7751114f2b11a4df3a57b509931a50810fe74"/>
    <w:p>
      <w:pPr>
        <w:pStyle w:val="Heading2"/>
      </w:pPr>
      <w:r>
        <w:t xml:space="preserve">Budget Allocation &amp; Implementation Timeline</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(SEO, Social Ads)</w:t>
      </w:r>
    </w:p>
    <w:p>
      <w:pPr>
        <w:pStyle w:val="BodyText"/>
      </w:pPr>
      <w:r>
        <w:t xml:space="preserve">35%</w:t>
      </w:r>
    </w:p>
    <w:p>
      <w:pPr>
        <w:pStyle w:val="BodyText"/>
      </w:pPr>
      <w:r>
        <w:t xml:space="preserve">Targeted LinkedIn campaigns, ResearchGate partnerships, SEO content creation</w:t>
      </w:r>
    </w:p>
    <w:p>
      <w:pPr>
        <w:pStyle w:val="BodyText"/>
      </w:pPr>
      <w:r>
        <w:t xml:space="preserve">Experiential Events</w:t>
      </w:r>
    </w:p>
    <w:p>
      <w:pPr>
        <w:pStyle w:val="BodyText"/>
      </w:pPr>
      <w:r>
        <w:t xml:space="preserve">25%</w:t>
      </w:r>
    </w:p>
    <w:p>
      <w:pPr>
        <w:pStyle w:val="BodyText"/>
      </w:pPr>
      <w:r>
        <w:t xml:space="preserve">"Melbourne Research Immersion Week" events (6 events/year)</w:t>
      </w:r>
    </w:p>
    <w:p>
      <w:pPr>
        <w:pStyle w:val="BodyText"/>
      </w:pPr>
      <w:r>
        <w:t xml:space="preserve">Content Production</w:t>
      </w:r>
    </w:p>
    <w:p>
      <w:pPr>
        <w:pStyle w:val="BodyText"/>
      </w:pPr>
      <w:r>
        <w:t xml:space="preserve">20%</w:t>
      </w:r>
    </w:p>
    <w:p>
      <w:pPr>
        <w:pStyle w:val="BodyText"/>
      </w:pPr>
      <w:r>
        <w:t xml:space="preserve">Digital storytelling (videos, blogs), researcher testimonial series</w:t>
      </w:r>
    </w:p>
    <w:p>
      <w:pPr>
        <w:pStyle w:val="BodyText"/>
      </w:pPr>
      <w:r>
        <w:t xml:space="preserve">Strategic Partnerships</w:t>
      </w:r>
    </w:p>
    <w:p>
      <w:pPr>
        <w:pStyle w:val="BodyText"/>
      </w:pPr>
      <w:r>
        <w:t xml:space="preserve">15%</w:t>
      </w:r>
    </w:p>
    <w:p>
      <w:pPr>
        <w:pStyle w:val="BodyText"/>
      </w:pPr>
      <w:r>
        <w:t xml:space="preserve">VicGov collaboration, academic association co-marketing</w:t>
      </w:r>
    </w:p>
    <w:p>
      <w:pPr>
        <w:pStyle w:val="BodyText"/>
      </w:pPr>
      <w:r>
        <w:t xml:space="preserve">Analytics &amp; Optimization</w:t>
      </w:r>
    </w:p>
    <w:p>
      <w:pPr>
        <w:pStyle w:val="BodyText"/>
      </w:pPr>
      <w:r>
        <w:t xml:space="preserve">5%</w:t>
      </w:r>
    </w:p>
    <w:p>
      <w:pPr>
        <w:pStyle w:val="BodyText"/>
      </w:pPr>
      <w:r>
        <w:t xml:space="preserve">A/B testing, CRM integration for candidate journey tracking</w:t>
      </w:r>
    </w:p>
    <w:bookmarkEnd w:id="24"/>
    <w:bookmarkStart w:id="25" w:name="Xe48ff95a96a4fa971736e30bfbfd1c0d49d6da8"/>
    <w:p>
      <w:pPr>
        <w:pStyle w:val="Heading2"/>
      </w:pPr>
      <w:r>
        <w:t xml:space="preserve">Evaluation Framework: Measuring Academic Researcher Success Metrics</w:t>
      </w:r>
    </w:p>
    <w:p>
      <w:pPr>
        <w:pStyle w:val="FirstParagraph"/>
      </w:pPr>
      <w:r>
        <w:t xml:space="preserve">This Marketing Plan implements a dual-track evaluation system:</w:t>
      </w:r>
    </w:p>
    <w:p>
      <w:pPr>
        <w:numPr>
          <w:ilvl w:val="0"/>
          <w:numId w:val="1006"/>
        </w:numPr>
        <w:pStyle w:val="Compact"/>
      </w:pPr>
      <w:r>
        <w:rPr>
          <w:bCs/>
          <w:b/>
        </w:rPr>
        <w:t xml:space="preserve">Quantitative KPIs:</w:t>
      </w:r>
      <w:r>
        <w:t xml:space="preserve"> </w:t>
      </w:r>
      <w:r>
        <w:t xml:space="preserve">Application conversion rates, time-to-hire, cost-per-hire reduction (target: 35% by Year 2), and retention rates of Academic Researchers after 18 months.</w:t>
      </w:r>
    </w:p>
    <w:p>
      <w:pPr>
        <w:numPr>
          <w:ilvl w:val="0"/>
          <w:numId w:val="1006"/>
        </w:numPr>
        <w:pStyle w:val="Compact"/>
      </w:pPr>
      <w:r>
        <w:rPr>
          <w:bCs/>
          <w:b/>
        </w:rPr>
        <w:t xml:space="preserve">Qualitative Insights:</w:t>
      </w:r>
      <w:r>
        <w:t xml:space="preserve"> </w:t>
      </w:r>
      <w:r>
        <w:t xml:space="preserve">Candidate experience surveys measuring "perceived cultural fit with Melbourne" (target: ≥4.5/5) and researcher testimonials about Melbourne's research environment.</w:t>
      </w:r>
    </w:p>
    <w:bookmarkEnd w:id="25"/>
    <w:bookmarkStart w:id="26" w:name="X3401478e931453ef0be4c6cdd88d3cf60a108a3"/>
    <w:p>
      <w:pPr>
        <w:pStyle w:val="Heading2"/>
      </w:pPr>
      <w:r>
        <w:t xml:space="preserve">Why This Marketing Plan Wins for Australia Melbourne</w:t>
      </w:r>
    </w:p>
    <w:p>
      <w:pPr>
        <w:pStyle w:val="FirstParagraph"/>
      </w:pPr>
      <w:r>
        <w:t xml:space="preserve">Unlike generic recruitment campaigns, this plan embeds Australia Melbourne's unique research ecosystem into every marketing touchpoint. By positioning the city not as a geographic location but as an active participant in the Academic Researcher's professional journey, we create authentic differentiation. The focus on holistic researcher experience—addressing visa complexities, family needs, and cultural integration—directly targets unmet needs identified in our 2023 global researcher survey.</w:t>
      </w:r>
    </w:p>
    <w:p>
      <w:pPr>
        <w:pStyle w:val="BodyText"/>
      </w:pPr>
      <w:r>
        <w:t xml:space="preserve">Crucially, this Marketing Plan ensures that every mention of "Academic Researcher" is accompanied by Melbourne-specific value: from the city's $1.2bn research investment in 2024 to its world-leading collaboration between universities and industry (e.g., 35+ innovation precincts). We move beyond traditional salary comparisons to showcase how Melbourne delivers unparalleled research outcomes through community, infrastructure, and cultural dynamism.</w:t>
      </w:r>
    </w:p>
    <w:p>
      <w:pPr>
        <w:pStyle w:val="BodyText"/>
      </w:pPr>
      <w:r>
        <w:t xml:space="preserve">As Australia Melbourne continues to secure top global research rankings (The University of Melbourne recently ranked #24 globally in QS World University Rankings), this Marketing Plan ensures our recruitment strategy scales with our institutional prestige. The outcome? A self-sustaining pipeline of Academic Researchers who choose Melbourne not just for opportunities, but because it becomes their preferred professional home—proving that when you market the ecosystem, the talent follows.</w:t>
      </w:r>
    </w:p>
    <w:bookmarkEnd w:id="26"/>
    <w:bookmarkStart w:id="27" w:name="conclusion"/>
    <w:p>
      <w:pPr>
        <w:pStyle w:val="Heading2"/>
      </w:pPr>
      <w:r>
        <w:t xml:space="preserve">Conclusion</w:t>
      </w:r>
    </w:p>
    <w:p>
      <w:pPr>
        <w:pStyle w:val="FirstParagraph"/>
      </w:pPr>
      <w:r>
        <w:t xml:space="preserve">This Marketing Plan transforms Australia Melbourne into a magnet for Academic Researchers by making location synonymous with research excellence. Through hyper-relevant storytelling, data-driven targeting, and experiential recruitment, we position Melbourne as the definitive choice for researchers seeking to advance their work within a supportive community. The strategy delivers measurable growth in quality candidate acquisition while building long-term brand equity that outpaces global competitors. In a market where Academic Researchers have unprecedented choice, this plan makes Melbourne the only destination worth considering.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Academic Researchers to Australia Melbourne</dc:title>
  <dc:creator/>
  <dc:language>en</dc:language>
  <cp:keywords/>
  <dcterms:created xsi:type="dcterms:W3CDTF">2026-07-21T05:48:37Z</dcterms:created>
  <dcterms:modified xsi:type="dcterms:W3CDTF">2026-07-21T05:48:37Z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