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0" w:name="Xcba130665bb495e37eca844b69f47353c0bd4aa"/>
    <w:p>
      <w:pPr>
        <w:pStyle w:val="Heading1"/>
      </w:pPr>
      <w:r>
        <w:t xml:space="preserve">Comprehensive Marketing Plan: Targeting Academic Researchers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academic support service tailored for researchers at universities and research institutions across Dhaka, Bangladesh. Recognizing the critical yet underserved needs of Academic Researchers in Bangladesh's rapidly evolving educational landscape, this plan leverages localized insights to drive engagement, adoption, and long-term impact within Dhaka's academic ecosystem. The initiative focuses on overcoming unique barriers like limited international publication support, funding access challenges, and language gaps—directly addressing the core mission of empowering Academic Researcher success in Bangladesh Dhaka.</w:t>
      </w:r>
    </w:p>
    <w:bookmarkEnd w:id="20"/>
    <w:bookmarkStart w:id="21" w:name="X2facf21aa4df2e738874822ff140f7f368dc13d"/>
    <w:p>
      <w:pPr>
        <w:pStyle w:val="Heading2"/>
      </w:pPr>
      <w:r>
        <w:t xml:space="preserve">Situation Analysis: The Dhaka Academic Research Landscape</w:t>
      </w:r>
    </w:p>
    <w:p>
      <w:pPr>
        <w:pStyle w:val="FirstParagraph"/>
      </w:pPr>
      <w:r>
        <w:t xml:space="preserve">Dhaka serves as the epicenter of higher education and research in Bangladesh, home to prestigious institutions like the University of Dhaka, Jahangirnagar University, and BRAC University. Despite significant growth in research output (over 15% annual increase reported by UGC Bangladesh), Academic Researchers face systemic challenges: limited access to high-impact international journals (67% report difficulty publishing outside Bangladeshi journals), insufficient grant writing support, language barriers for English-language submissions, and fragmented networking opportunities. Power outages and inconsistent internet connectivity further hinder digital research workflows. This gap presents a strategic opportunity for a service designed *specifically* for Dhaka’s Academic Researchers.</w:t>
      </w:r>
    </w:p>
    <w:bookmarkEnd w:id="21"/>
    <w:bookmarkStart w:id="22" w:name="X07bee95621f8be382d1d41b55a6e3258a427b33"/>
    <w:p>
      <w:pPr>
        <w:pStyle w:val="Heading2"/>
      </w:pPr>
      <w:r>
        <w:t xml:space="preserve">Target Audience: The Dhaka Academic Researcher Persona</w:t>
      </w:r>
    </w:p>
    <w:p>
      <w:pPr>
        <w:pStyle w:val="FirstParagraph"/>
      </w:pPr>
      <w:r>
        <w:t xml:space="preserve">Our primary target is mid-to-senior level Academic Researchers (PhD holders with 3+ years experience) across Dhaka's public and private universities. Key segments include:</w:t>
      </w:r>
    </w:p>
    <w:p>
      <w:pPr>
        <w:numPr>
          <w:ilvl w:val="0"/>
          <w:numId w:val="1001"/>
        </w:numPr>
        <w:pStyle w:val="Compact"/>
      </w:pPr>
      <w:r>
        <w:rPr>
          <w:bCs/>
          <w:b/>
        </w:rPr>
        <w:t xml:space="preserve">University Lecturers &amp; Professors:</w:t>
      </w:r>
      <w:r>
        <w:t xml:space="preserve"> </w:t>
      </w:r>
      <w:r>
        <w:t xml:space="preserve">Seeking career advancement through publications and grants.</w:t>
      </w:r>
    </w:p>
    <w:p>
      <w:pPr>
        <w:numPr>
          <w:ilvl w:val="0"/>
          <w:numId w:val="1001"/>
        </w:numPr>
        <w:pStyle w:val="Compact"/>
      </w:pPr>
      <w:r>
        <w:rPr>
          <w:bCs/>
          <w:b/>
        </w:rPr>
        <w:t xml:space="preserve">Post-Doctoral Researchers:</w:t>
      </w:r>
      <w:r>
        <w:t xml:space="preserve"> </w:t>
      </w:r>
      <w:r>
        <w:t xml:space="preserve">Focused on building international research profiles for future roles.</w:t>
      </w:r>
    </w:p>
    <w:p>
      <w:pPr>
        <w:numPr>
          <w:ilvl w:val="0"/>
          <w:numId w:val="1001"/>
        </w:numPr>
        <w:pStyle w:val="Compact"/>
      </w:pPr>
      <w:r>
        <w:rPr>
          <w:bCs/>
          <w:b/>
        </w:rPr>
        <w:t xml:space="preserve">Limited-Funding Researchers:</w:t>
      </w:r>
      <w:r>
        <w:t xml:space="preserve"> </w:t>
      </w:r>
      <w:r>
        <w:t xml:space="preserve">Operating with constrained budgets, highly sensitive to cost-effectiveness.</w:t>
      </w:r>
    </w:p>
    <w:p>
      <w:pPr>
        <w:pStyle w:val="FirstParagraph"/>
      </w:pPr>
      <w:r>
        <w:t xml:space="preserve">These professionals prioritize solutions that save time, improve publication success rates, and offer culturally relevant support within Bangladesh Dhaka’s academic context. They value peer validation and local institutional partnerships over generic international offerings.</w:t>
      </w:r>
    </w:p>
    <w:bookmarkEnd w:id="22"/>
    <w:bookmarkStart w:id="25" w:name="marketing-strategy-localization-is-key"/>
    <w:p>
      <w:pPr>
        <w:pStyle w:val="Heading2"/>
      </w:pPr>
      <w:r>
        <w:t xml:space="preserve">Marketing Strategy: Localization is Key</w:t>
      </w:r>
    </w:p>
    <w:p>
      <w:pPr>
        <w:pStyle w:val="FirstParagraph"/>
      </w:pPr>
      <w:r>
        <w:t xml:space="preserve">Our strategy centers on deep localization to resonate with Academic Researchers in Bangladesh Dhaka:</w:t>
      </w:r>
    </w:p>
    <w:bookmarkStart w:id="23" w:name="value-proposition-tailored-for-dhaka"/>
    <w:p>
      <w:pPr>
        <w:pStyle w:val="Heading3"/>
      </w:pPr>
      <w:r>
        <w:t xml:space="preserve">1. Value Proposition Tailored for Dhaka</w:t>
      </w:r>
    </w:p>
    <w:p>
      <w:pPr>
        <w:numPr>
          <w:ilvl w:val="0"/>
          <w:numId w:val="1002"/>
        </w:numPr>
        <w:pStyle w:val="Compact"/>
      </w:pPr>
      <w:r>
        <w:rPr>
          <w:bCs/>
          <w:b/>
        </w:rPr>
        <w:t xml:space="preserve">Bengali-English Hybrid Support:</w:t>
      </w:r>
      <w:r>
        <w:t xml:space="preserve"> </w:t>
      </w:r>
      <w:r>
        <w:t xml:space="preserve">Offering grant writing assistance and manuscript editing with Bengali-language guidance on English academic conventions (addressing a key pain point identified in Dhaka university surveys).</w:t>
      </w:r>
    </w:p>
    <w:p>
      <w:pPr>
        <w:numPr>
          <w:ilvl w:val="0"/>
          <w:numId w:val="1002"/>
        </w:numPr>
        <w:pStyle w:val="Compact"/>
      </w:pPr>
      <w:r>
        <w:rPr>
          <w:bCs/>
          <w:b/>
        </w:rPr>
        <w:t xml:space="preserve">Dhaka-Centric Networking:</w:t>
      </w:r>
      <w:r>
        <w:t xml:space="preserve"> </w:t>
      </w:r>
      <w:r>
        <w:t xml:space="preserve">Hosting monthly "Research Connect" workshops at DU, BUET, and IUT venues—focusing on local funding bodies (e.g., ICDDR,B, BRTC) and regional collaborations.</w:t>
      </w:r>
    </w:p>
    <w:p>
      <w:pPr>
        <w:numPr>
          <w:ilvl w:val="0"/>
          <w:numId w:val="1002"/>
        </w:numPr>
        <w:pStyle w:val="Compact"/>
      </w:pPr>
      <w:r>
        <w:rPr>
          <w:bCs/>
          <w:b/>
        </w:rPr>
        <w:t xml:space="preserve">Cost-Effective Tiered Pricing:</w:t>
      </w:r>
      <w:r>
        <w:t xml:space="preserve"> </w:t>
      </w:r>
      <w:r>
        <w:t xml:space="preserve">Free basic webinars for Dhaka researchers; subsidized packages (30% below international rates) funded through partnerships with universities like NSU and RUET.</w:t>
      </w:r>
    </w:p>
    <w:bookmarkEnd w:id="23"/>
    <w:bookmarkStart w:id="24" w:name="X506aa9fa4cfb1eaa18523bb8f20545874009b6f"/>
    <w:p>
      <w:pPr>
        <w:pStyle w:val="Heading3"/>
      </w:pPr>
      <w:r>
        <w:t xml:space="preserve">2. Channel Strategy: Reaching Dhaka Researchers Where They Are</w:t>
      </w:r>
    </w:p>
    <w:p>
      <w:pPr>
        <w:pStyle w:val="FirstParagraph"/>
      </w:pPr>
      <w:r>
        <w:t xml:space="preserve">Channel</w:t>
      </w:r>
    </w:p>
    <w:p>
      <w:pPr>
        <w:pStyle w:val="BodyText"/>
      </w:pPr>
      <w:r>
        <w:t xml:space="preserve">Strategy in Bangladesh Dhaka</w:t>
      </w:r>
    </w:p>
    <w:p>
      <w:pPr>
        <w:pStyle w:val="BodyText"/>
      </w:pPr>
      <w:r>
        <w:t xml:space="preserve">Expected Reach/Impact</w:t>
      </w:r>
    </w:p>
    <w:p>
      <w:pPr>
        <w:pStyle w:val="BodyText"/>
      </w:pPr>
      <w:r>
        <w:t xml:space="preserve">University Partnerships (Primary)</w:t>
      </w:r>
    </w:p>
    <w:p>
      <w:pPr>
        <w:pStyle w:val="BodyText"/>
      </w:pPr>
      <w:r>
        <w:t xml:space="preserve">Negotiate MOUs with Dhaka university research offices for integrated service access. Co-host events at campus centers.</w:t>
      </w:r>
    </w:p>
    <w:p>
      <w:pPr>
        <w:pStyle w:val="BodyText"/>
      </w:pPr>
      <w:r>
        <w:t xml:space="preserve">Direct access to 10,000+ registered Academic Researchers in Dhaka region within Year 1.</w:t>
      </w:r>
    </w:p>
    <w:p>
      <w:pPr>
        <w:pStyle w:val="BodyText"/>
      </w:pPr>
      <w:r>
        <w:t xml:space="preserve">LinkedIn &amp; Local Social Media</w:t>
      </w:r>
    </w:p>
    <w:p>
      <w:pPr>
        <w:pStyle w:val="BodyText"/>
      </w:pPr>
      <w:r>
        <w:t xml:space="preserve">Targeted LinkedIn ads focusing on Dhaka-based researchers; Bengali-language Facebook/WhatsApp groups for peer discussion (e.g., "Dhaka Research Network").</w:t>
      </w:r>
    </w:p>
    <w:p>
      <w:pPr>
        <w:pStyle w:val="BodyText"/>
      </w:pPr>
      <w:r>
        <w:t xml:space="preserve">Low-cost, high-engagement targeting within Dhaka’s academic digital ecosystem.</w:t>
      </w:r>
    </w:p>
    <w:p>
      <w:pPr>
        <w:pStyle w:val="BodyText"/>
      </w:pPr>
      <w:r>
        <w:t xml:space="preserve">Academic Conferences</w:t>
      </w:r>
    </w:p>
    <w:p>
      <w:pPr>
        <w:pStyle w:val="BodyText"/>
      </w:pPr>
      <w:r>
        <w:rPr>
          <w:bCs/>
          <w:b/>
        </w:rPr>
        <w:t xml:space="preserve">Secure booth at Dhaka University International Research Summit (annual event).</w:t>
      </w:r>
    </w:p>
    <w:p>
      <w:pPr>
        <w:pStyle w:val="BodyText"/>
      </w:pPr>
      <w:r>
        <w:rPr>
          <w:bCs/>
          <w:b/>
        </w:rPr>
        <w:t xml:space="preserve">Expected Outcome:</w:t>
      </w:r>
      <w:r>
        <w:t xml:space="preserve"> </w:t>
      </w:r>
      <w:r>
        <w:t xml:space="preserve">200+ direct sign-ups during the summit, establishing brand credibility.</w:t>
      </w:r>
    </w:p>
    <w:bookmarkEnd w:id="24"/>
    <w:bookmarkEnd w:id="25"/>
    <w:bookmarkStart w:id="26" w:name="X0575f600a3c8aab5b418788501b352facf001a6"/>
    <w:p>
      <w:pPr>
        <w:pStyle w:val="Heading2"/>
      </w:pPr>
      <w:r>
        <w:t xml:space="preserve">Tactical Implementation Timeline (Dhaka Focus)</w:t>
      </w:r>
    </w:p>
    <w:p>
      <w:pPr>
        <w:numPr>
          <w:ilvl w:val="0"/>
          <w:numId w:val="1003"/>
        </w:numPr>
        <w:pStyle w:val="Compact"/>
      </w:pPr>
      <w:r>
        <w:rPr>
          <w:bCs/>
          <w:b/>
        </w:rPr>
        <w:t xml:space="preserve">Months 1-3: Foundation &amp; Dhaka Onboarding</w:t>
      </w:r>
    </w:p>
    <w:p>
      <w:pPr>
        <w:numPr>
          <w:ilvl w:val="1"/>
          <w:numId w:val="1004"/>
        </w:numPr>
        <w:pStyle w:val="Compact"/>
      </w:pPr>
      <w:r>
        <w:t xml:space="preserve">Finalize partnerships with 3 major Dhaka universities.</w:t>
      </w:r>
    </w:p>
    <w:p>
      <w:pPr>
        <w:numPr>
          <w:ilvl w:val="1"/>
          <w:numId w:val="1004"/>
        </w:numPr>
        <w:pStyle w:val="Compact"/>
      </w:pPr>
      <w:r>
        <w:t xml:space="preserve">Launch Bengali-language webinar series ("Research Success in Bangladesh") via Zoom (optimized for local internet speeds).</w:t>
      </w:r>
    </w:p>
    <w:p>
      <w:pPr>
        <w:numPr>
          <w:ilvl w:val="0"/>
          <w:numId w:val="1003"/>
        </w:numPr>
        <w:pStyle w:val="Compact"/>
      </w:pPr>
      <w:r>
        <w:rPr>
          <w:bCs/>
          <w:b/>
        </w:rPr>
        <w:t xml:space="preserve">Months 4-6: Service Rollout &amp; Local Validation</w:t>
      </w:r>
    </w:p>
    <w:p>
      <w:pPr>
        <w:numPr>
          <w:ilvl w:val="1"/>
          <w:numId w:val="1005"/>
        </w:numPr>
        <w:pStyle w:val="Compact"/>
      </w:pPr>
      <w:r>
        <w:t xml:space="preserve">Deploy subsidized pilot program for 50 Dhaka-based Academic Researchers.</w:t>
      </w:r>
    </w:p>
    <w:p>
      <w:pPr>
        <w:numPr>
          <w:ilvl w:val="1"/>
          <w:numId w:val="1005"/>
        </w:numPr>
        <w:pStyle w:val="Compact"/>
      </w:pPr>
      <w:r>
        <w:t xml:space="preserve">Host first "Dhaka Research Connect" workshop at BRAC University, featuring local success stories.</w:t>
      </w:r>
    </w:p>
    <w:p>
      <w:pPr>
        <w:numPr>
          <w:ilvl w:val="0"/>
          <w:numId w:val="1003"/>
        </w:numPr>
        <w:pStyle w:val="Compact"/>
      </w:pPr>
      <w:r>
        <w:rPr>
          <w:bCs/>
          <w:b/>
        </w:rPr>
        <w:t xml:space="preserve">Months 7-12: Scale &amp; Community Building</w:t>
      </w:r>
    </w:p>
    <w:p>
      <w:pPr>
        <w:numPr>
          <w:ilvl w:val="1"/>
          <w:numId w:val="1006"/>
        </w:numPr>
        <w:pStyle w:val="Compact"/>
      </w:pPr>
      <w:r>
        <w:t xml:space="preserve">Expand to all major Dhaka institutions; launch a Dhaka-specific digital resource hub (free access to funding guides, journal databases).</w:t>
      </w:r>
    </w:p>
    <w:p>
      <w:pPr>
        <w:numPr>
          <w:ilvl w:val="1"/>
          <w:numId w:val="1006"/>
        </w:numPr>
        <w:pStyle w:val="Compact"/>
      </w:pPr>
      <w:r>
        <w:t xml:space="preserve">Initiate "Dhaka Research Ambassador" program recruiting senior Academic Researchers for peer advocacy.</w:t>
      </w:r>
    </w:p>
    <w:bookmarkEnd w:id="26"/>
    <w:bookmarkStart w:id="27" w:name="budget-allocation-highlights"/>
    <w:p>
      <w:pPr>
        <w:pStyle w:val="Heading2"/>
      </w:pPr>
      <w:r>
        <w:t xml:space="preserve">Budget Allocation Highlights</w:t>
      </w:r>
    </w:p>
    <w:p>
      <w:pPr>
        <w:pStyle w:val="FirstParagraph"/>
      </w:pPr>
      <w:r>
        <w:t xml:space="preserve">80% of budget is dedicated to Dhaka-specific activities:</w:t>
      </w:r>
    </w:p>
    <w:p>
      <w:pPr>
        <w:numPr>
          <w:ilvl w:val="0"/>
          <w:numId w:val="1007"/>
        </w:numPr>
        <w:pStyle w:val="Compact"/>
      </w:pPr>
      <w:r>
        <w:t xml:space="preserve">65%: On-ground events, university partnerships, and local staff (Bengali-speaking support team in Dhaka office).</w:t>
      </w:r>
    </w:p>
    <w:p>
      <w:pPr>
        <w:numPr>
          <w:ilvl w:val="0"/>
          <w:numId w:val="1007"/>
        </w:numPr>
        <w:pStyle w:val="Compact"/>
      </w:pPr>
      <w:r>
        <w:t xml:space="preserve">20%: Digital marketing targeting Dhaka research communities.</w:t>
      </w:r>
    </w:p>
    <w:p>
      <w:pPr>
        <w:numPr>
          <w:ilvl w:val="0"/>
          <w:numId w:val="1007"/>
        </w:numPr>
        <w:pStyle w:val="Compact"/>
      </w:pPr>
      <w:r>
        <w:t xml:space="preserve">15%: Development of Bengali-English academic resources.</w:t>
      </w:r>
    </w:p>
    <w:bookmarkEnd w:id="27"/>
    <w:bookmarkStart w:id="28" w:name="kpis-for-bangladesh-dhaka-success"/>
    <w:p>
      <w:pPr>
        <w:pStyle w:val="Heading2"/>
      </w:pPr>
      <w:r>
        <w:t xml:space="preserve">KPIs for Bangladesh Dhaka Success</w:t>
      </w:r>
    </w:p>
    <w:p>
      <w:pPr>
        <w:pStyle w:val="FirstParagraph"/>
      </w:pPr>
      <w:r>
        <w:t xml:space="preserve">We measure success through Dhaka-relevant metrics:</w:t>
      </w:r>
    </w:p>
    <w:p>
      <w:pPr>
        <w:numPr>
          <w:ilvl w:val="0"/>
          <w:numId w:val="1008"/>
        </w:numPr>
        <w:pStyle w:val="Compact"/>
      </w:pPr>
      <w:r>
        <w:rPr>
          <w:bCs/>
          <w:b/>
        </w:rPr>
        <w:t xml:space="preserve">Adoption Rate:</w:t>
      </w:r>
      <w:r>
        <w:t xml:space="preserve"> </w:t>
      </w:r>
      <w:r>
        <w:t xml:space="preserve">30% penetration in target university researcher population within 18 months.</w:t>
      </w:r>
    </w:p>
    <w:p>
      <w:pPr>
        <w:numPr>
          <w:ilvl w:val="0"/>
          <w:numId w:val="1008"/>
        </w:numPr>
        <w:pStyle w:val="Compact"/>
      </w:pPr>
      <w:r>
        <w:rPr>
          <w:bCs/>
          <w:b/>
        </w:rPr>
        <w:t xml:space="preserve">Publication Impact:</w:t>
      </w:r>
      <w:r>
        <w:t xml:space="preserve"> </w:t>
      </w:r>
      <w:r>
        <w:t xml:space="preserve">40% increase in client publications in indexed journals (tracked via Dhaka University’s research portal).</w:t>
      </w:r>
    </w:p>
    <w:p>
      <w:pPr>
        <w:numPr>
          <w:ilvl w:val="0"/>
          <w:numId w:val="1008"/>
        </w:numPr>
        <w:pStyle w:val="Compact"/>
      </w:pPr>
      <w:r>
        <w:rPr>
          <w:bCs/>
          <w:b/>
        </w:rPr>
        <w:t xml:space="preserve">National Recognition:</w:t>
      </w:r>
      <w:r>
        <w:t xml:space="preserve"> </w:t>
      </w:r>
      <w:r>
        <w:t xml:space="preserve">Featured as a "Key Research Support Provider" by the Bangladesh University Grants Commission (UGC) within 2 years.</w:t>
      </w:r>
    </w:p>
    <w:bookmarkEnd w:id="28"/>
    <w:bookmarkStart w:id="29" w:name="conclusion-the-dhaka-opportunity"/>
    <w:p>
      <w:pPr>
        <w:pStyle w:val="Heading2"/>
      </w:pPr>
      <w:r>
        <w:t xml:space="preserve">Conclusion: The Dhaka Opportunity</w:t>
      </w:r>
    </w:p>
    <w:p>
      <w:pPr>
        <w:pStyle w:val="FirstParagraph"/>
      </w:pPr>
      <w:r>
        <w:t xml:space="preserve">This Marketing Plan positions our Academic Researcher support service as an indispensable asset for advancing research excellence in Bangladesh Dhaka. By embedding localization—through language, partnerships, and cultural understanding—we transcend generic international models to deliver genuine value. The focus on Dhaka’s unique institutional dynamics, economic realities, and academic aspirations ensures that every marketing initiative directly serves the mission of elevating Academic Researchers across Bangladesh's most influential city. This is not just a service launch; it’s an investment in Dhaka becoming a recognized hub for quality research within South Asia.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Services in Bangladesh Dhaka</dc:title>
  <dc:creator/>
  <dc:language>en</dc:language>
  <cp:keywords/>
  <dcterms:created xsi:type="dcterms:W3CDTF">2026-07-23T23:47:51Z</dcterms:created>
  <dcterms:modified xsi:type="dcterms:W3CDTF">2026-07-23T23:47:51Z</dcterms:modified>
</cp:coreProperties>
</file>

<file path=docProps/custom.xml><?xml version="1.0" encoding="utf-8"?>
<Properties xmlns="http://schemas.openxmlformats.org/officeDocument/2006/custom-properties" xmlns:vt="http://schemas.openxmlformats.org/officeDocument/2006/docPropsVTypes"/>
</file>