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Targeting</w:t>
      </w:r>
      <w:r>
        <w:t xml:space="preserve"> </w:t>
      </w:r>
      <w:r>
        <w:t xml:space="preserve">Academic</w:t>
      </w:r>
      <w:r>
        <w:t xml:space="preserve"> </w:t>
      </w:r>
      <w:r>
        <w:t xml:space="preserve">Researchers</w:t>
      </w:r>
      <w:r>
        <w:t xml:space="preserve"> </w:t>
      </w:r>
      <w:r>
        <w:t xml:space="preserve">in</w:t>
      </w:r>
      <w:r>
        <w:t xml:space="preserve"> </w:t>
      </w:r>
      <w:r>
        <w:t xml:space="preserve">Belgium</w:t>
      </w:r>
      <w:r>
        <w:t xml:space="preserve"> </w:t>
      </w:r>
      <w:r>
        <w:t xml:space="preserve">Brussels</w:t>
      </w:r>
    </w:p>
    <w:bookmarkStart w:id="29" w:name="X97443aa3ed48cc08418c151ee46552f982a57dc"/>
    <w:p>
      <w:pPr>
        <w:pStyle w:val="Heading1"/>
      </w:pPr>
      <w:r>
        <w:t xml:space="preserve">Marketing Plan for Academic Researcher Engagement in Belgium Brussels</w:t>
      </w:r>
    </w:p>
    <w:bookmarkStart w:id="20" w:name="executive-summary"/>
    <w:p>
      <w:pPr>
        <w:pStyle w:val="Heading2"/>
      </w:pPr>
      <w:r>
        <w:t xml:space="preserve">Executive Summary</w:t>
      </w:r>
    </w:p>
    <w:p>
      <w:pPr>
        <w:pStyle w:val="FirstParagraph"/>
      </w:pPr>
      <w:r>
        <w:t xml:space="preserve">This comprehensive Marketing Plan is designed exclusively for targeting and engaging Academic Researchers operating within the dynamic ecosystem of Belgium Brussels. As the political, cultural, and academic heart of Europe, Brussels hosts a thriving community of scholars across disciplines—from EU policy studies to environmental science—yet faces unique challenges in research funding, collaboration, and dissemination. This plan outlines a tailored strategy to position our services as indispensable for Academic Researchers navigating the complexities of research excellence in Belgium Brussels. By leveraging local institutions, language capabilities, and EU-centric opportunities, this Marketing Plan will establish deep market penetration among the region’s most influential researchers.</w:t>
      </w:r>
    </w:p>
    <w:bookmarkEnd w:id="20"/>
    <w:bookmarkStart w:id="21" w:name="Xe6ccce3840c6e6bc37b6e10be99f9a7fd767bd9"/>
    <w:p>
      <w:pPr>
        <w:pStyle w:val="Heading2"/>
      </w:pPr>
      <w:r>
        <w:t xml:space="preserve">Market Analysis: The Academic Researcher Landscape in Belgium Brussels</w:t>
      </w:r>
    </w:p>
    <w:p>
      <w:pPr>
        <w:pStyle w:val="FirstParagraph"/>
      </w:pPr>
      <w:r>
        <w:t xml:space="preserve">Belgium Brussels is a global nexus for academic research, home to 50+ universities and research centers including KU Leuven, Université Libre de Bruxelles (ULB), and the European University Institute. However, Academic Researchers here confront distinct barriers: intense competition for Horizon Europe funding, bureaucratic hurdles in EU grant applications, multilingual communication demands (Dutch/French/English), and a need for cross-border collaboration. Recent data indicates 68% of researchers in Belgium Brussels report time spent on administrative tasks exceeding 30% of their workload (European Commission, 2023). This gap presents a critical opportunity for specialized support services. Our plan addresses these pain points by focusing on the Belgian context—ensuring all solutions align with Brussels’ academic culture and EU regulatory environment.</w:t>
      </w:r>
    </w:p>
    <w:bookmarkEnd w:id="21"/>
    <w:bookmarkStart w:id="22" w:name="X985df860da081c7a71d89efca8ae16a3c161a62"/>
    <w:p>
      <w:pPr>
        <w:pStyle w:val="Heading2"/>
      </w:pPr>
      <w:r>
        <w:t xml:space="preserve">Target Audience: The Academic Researcher in Belgium Brussels</w:t>
      </w:r>
    </w:p>
    <w:p>
      <w:pPr>
        <w:pStyle w:val="FirstParagraph"/>
      </w:pPr>
      <w:r>
        <w:t xml:space="preserve">Our primary audience comprises mid-career to senior Academic Researchers at institutions like ULB, VUB, and the University of Mons. These professionals are:</w:t>
      </w:r>
    </w:p>
    <w:p>
      <w:pPr>
        <w:numPr>
          <w:ilvl w:val="0"/>
          <w:numId w:val="1001"/>
        </w:numPr>
        <w:pStyle w:val="Compact"/>
      </w:pPr>
      <w:r>
        <w:rPr>
          <w:bCs/>
          <w:b/>
        </w:rPr>
        <w:t xml:space="preserve">EU-Focused:</w:t>
      </w:r>
      <w:r>
        <w:t xml:space="preserve"> </w:t>
      </w:r>
      <w:r>
        <w:t xml:space="preserve">Routinely engage with Horizon Europe, ERA-NET programs, or EU policy consultations.</w:t>
      </w:r>
    </w:p>
    <w:p>
      <w:pPr>
        <w:numPr>
          <w:ilvl w:val="0"/>
          <w:numId w:val="1001"/>
        </w:numPr>
        <w:pStyle w:val="Compact"/>
      </w:pPr>
      <w:r>
        <w:rPr>
          <w:bCs/>
          <w:b/>
        </w:rPr>
        <w:t xml:space="preserve">Collaboration-Driven:</w:t>
      </w:r>
      <w:r>
        <w:t xml:space="preserve"> </w:t>
      </w:r>
      <w:r>
        <w:t xml:space="preserve">Require seamless networking across Belgian and European institutions (e.g., within the Brussels-based European Research Area).</w:t>
      </w:r>
    </w:p>
    <w:p>
      <w:pPr>
        <w:numPr>
          <w:ilvl w:val="0"/>
          <w:numId w:val="1001"/>
        </w:numPr>
        <w:pStyle w:val="Compact"/>
      </w:pPr>
      <w:r>
        <w:rPr>
          <w:bCs/>
          <w:b/>
        </w:rPr>
        <w:t xml:space="preserve">Bilingual/Multilingual:</w:t>
      </w:r>
      <w:r>
        <w:t xml:space="preserve"> </w:t>
      </w:r>
      <w:r>
        <w:t xml:space="preserve">Navigate French-Dutch academic spaces daily; require materials in both languages.</w:t>
      </w:r>
    </w:p>
    <w:p>
      <w:pPr>
        <w:numPr>
          <w:ilvl w:val="0"/>
          <w:numId w:val="1001"/>
        </w:numPr>
        <w:pStyle w:val="Compact"/>
      </w:pPr>
      <w:r>
        <w:rPr>
          <w:bCs/>
          <w:b/>
        </w:rPr>
        <w:t xml:space="preserve">Crisis-Averse:</w:t>
      </w:r>
      <w:r>
        <w:t xml:space="preserve"> </w:t>
      </w:r>
      <w:r>
        <w:t xml:space="preserve">Seek proven solutions to avoid funding rejection or publication delays.</w:t>
      </w:r>
    </w:p>
    <w:p>
      <w:pPr>
        <w:pStyle w:val="FirstParagraph"/>
      </w:pPr>
      <w:r>
        <w:t xml:space="preserve">Crucially, this plan rejects a one-size-fits-all approach. Instead, it recognizes that an Academic Researcher in Belgium Brussels operates within a hyper-localized environment where proximity to EU institutions (like the European Commission’s research directorate) creates both unique advantages and pressures.</w:t>
      </w:r>
    </w:p>
    <w:bookmarkEnd w:id="22"/>
    <w:bookmarkStart w:id="26" w:name="core-strategic-pillars"/>
    <w:p>
      <w:pPr>
        <w:pStyle w:val="Heading2"/>
      </w:pPr>
      <w:r>
        <w:t xml:space="preserve">Core Strategic Pillars</w:t>
      </w:r>
    </w:p>
    <w:p>
      <w:pPr>
        <w:pStyle w:val="FirstParagraph"/>
      </w:pPr>
      <w:r>
        <w:t xml:space="preserve">Our Marketing Plan is built on three pillars directly relevant to Academic Researchers in Belgium Brussels:</w:t>
      </w:r>
    </w:p>
    <w:bookmarkStart w:id="23" w:name="hyper-localized-service-integration"/>
    <w:p>
      <w:pPr>
        <w:pStyle w:val="Heading3"/>
      </w:pPr>
      <w:r>
        <w:t xml:space="preserve">1. Hyper-Localized Service Integration</w:t>
      </w:r>
    </w:p>
    <w:p>
      <w:pPr>
        <w:pStyle w:val="FirstParagraph"/>
      </w:pPr>
      <w:r>
        <w:t xml:space="preserve">We will co-develop solutions with Brussels-based academic partners (e.g., ULB’s Research Support Office) to embed services into existing workflows. Examples include:</w:t>
      </w:r>
    </w:p>
    <w:p>
      <w:pPr>
        <w:numPr>
          <w:ilvl w:val="0"/>
          <w:numId w:val="1002"/>
        </w:numPr>
        <w:pStyle w:val="Compact"/>
      </w:pPr>
      <w:r>
        <w:t xml:space="preserve">Hosting monthly "Horizon Europe Clinics" at Place de la Bourse, tailored to Belgian grant deadlines.</w:t>
      </w:r>
    </w:p>
    <w:p>
      <w:pPr>
        <w:numPr>
          <w:ilvl w:val="0"/>
          <w:numId w:val="1002"/>
        </w:numPr>
        <w:pStyle w:val="Compact"/>
      </w:pPr>
      <w:r>
        <w:t xml:space="preserve">Providing bilingual (French/Dutch/English) grant-writing templates compliant with Flemish/Walloon research policies.</w:t>
      </w:r>
    </w:p>
    <w:p>
      <w:pPr>
        <w:numPr>
          <w:ilvl w:val="0"/>
          <w:numId w:val="1002"/>
        </w:numPr>
        <w:pStyle w:val="Compact"/>
      </w:pPr>
      <w:r>
        <w:t xml:space="preserve">Creating a Brussels-specific database of local funders and collaborative networks (e.g., "Brussels Research Connect").</w:t>
      </w:r>
    </w:p>
    <w:p>
      <w:pPr>
        <w:pStyle w:val="FirstParagraph"/>
      </w:pPr>
      <w:r>
        <w:t xml:space="preserve">This ensures our support isn’t just relevant—it’s indistinguishable from the Academic Researcher’s daily reality in Belgium Brussels.</w:t>
      </w:r>
    </w:p>
    <w:bookmarkEnd w:id="23"/>
    <w:bookmarkStart w:id="24" w:name="eu-ecosystem-navigation"/>
    <w:p>
      <w:pPr>
        <w:pStyle w:val="Heading3"/>
      </w:pPr>
      <w:r>
        <w:t xml:space="preserve">2. EU Ecosystem Navigation</w:t>
      </w:r>
    </w:p>
    <w:p>
      <w:pPr>
        <w:pStyle w:val="FirstParagraph"/>
      </w:pPr>
      <w:r>
        <w:t xml:space="preserve">Given Brussels’ centrality to EU policy, we position ourselves as experts in translating EU research frameworks into actionable steps for Academic Researchers. Our plan includes:</w:t>
      </w:r>
    </w:p>
    <w:p>
      <w:pPr>
        <w:numPr>
          <w:ilvl w:val="0"/>
          <w:numId w:val="1003"/>
        </w:numPr>
        <w:pStyle w:val="Compact"/>
      </w:pPr>
      <w:r>
        <w:t xml:space="preserve">A "Brussels Policy Briefing Series" co-hosted with think tanks like the European Policy Centre (EPC), analyzing how new regulations impact grant eligibility.</w:t>
      </w:r>
    </w:p>
    <w:p>
      <w:pPr>
        <w:numPr>
          <w:ilvl w:val="0"/>
          <w:numId w:val="1003"/>
        </w:numPr>
        <w:pStyle w:val="Compact"/>
      </w:pPr>
      <w:r>
        <w:t xml:space="preserve">Personalized EU compliance audits for researchers preparing Horizon Europe proposals, leveraging our proximity to EU bodies.</w:t>
      </w:r>
    </w:p>
    <w:p>
      <w:pPr>
        <w:pStyle w:val="FirstParagraph"/>
      </w:pPr>
      <w:r>
        <w:t xml:space="preserve">This directly addresses a top pain point: 72% of Belgian researchers feel unclear about evolving EU administrative requirements (Erasmus+ Survey, 2024).</w:t>
      </w:r>
    </w:p>
    <w:bookmarkEnd w:id="24"/>
    <w:bookmarkStart w:id="25" w:name="community-driven-trust-building"/>
    <w:p>
      <w:pPr>
        <w:pStyle w:val="Heading3"/>
      </w:pPr>
      <w:r>
        <w:t xml:space="preserve">3. Community-Driven Trust Building</w:t>
      </w:r>
    </w:p>
    <w:p>
      <w:pPr>
        <w:pStyle w:val="FirstParagraph"/>
      </w:pPr>
      <w:r>
        <w:t xml:space="preserve">Trust is non-negotiable for Academic Researchers. We will cultivate it through:</w:t>
      </w:r>
    </w:p>
    <w:p>
      <w:pPr>
        <w:numPr>
          <w:ilvl w:val="0"/>
          <w:numId w:val="1004"/>
        </w:numPr>
        <w:pStyle w:val="Compact"/>
      </w:pPr>
      <w:r>
        <w:t xml:space="preserve">Sponsorship of the annual "Brussels Science Week," featuring panels on "Funding in the EU Capital."</w:t>
      </w:r>
    </w:p>
    <w:p>
      <w:pPr>
        <w:numPr>
          <w:ilvl w:val="0"/>
          <w:numId w:val="1004"/>
        </w:numPr>
        <w:pStyle w:val="Compact"/>
      </w:pPr>
      <w:r>
        <w:t xml:space="preserve">Collaborating with Belgian academic associations (e.g., Académie royale de Belgique) for joint research impact workshops.</w:t>
      </w:r>
    </w:p>
    <w:p>
      <w:pPr>
        <w:numPr>
          <w:ilvl w:val="0"/>
          <w:numId w:val="1004"/>
        </w:numPr>
        <w:pStyle w:val="Compact"/>
      </w:pPr>
      <w:r>
        <w:t xml:space="preserve">Creating a peer-led advisory board of 15+ Brussels-based researchers to co-design our services.</w:t>
      </w:r>
    </w:p>
    <w:p>
      <w:pPr>
        <w:pStyle w:val="FirstParagraph"/>
      </w:pPr>
      <w:r>
        <w:t xml:space="preserve">This transforms us from a vendor into a community partner—essential for long-term engagement in Belgium Brussels’ tight-knit academic circles.</w:t>
      </w:r>
    </w:p>
    <w:bookmarkEnd w:id="25"/>
    <w:bookmarkEnd w:id="26"/>
    <w:bookmarkStart w:id="27" w:name="implementation-timeline-kpis"/>
    <w:p>
      <w:pPr>
        <w:pStyle w:val="Heading2"/>
      </w:pPr>
      <w:r>
        <w:t xml:space="preserve">Implementation Timeline &amp; KPIs</w:t>
      </w:r>
    </w:p>
    <w:p>
      <w:pPr>
        <w:pStyle w:val="FirstParagraph"/>
      </w:pPr>
      <w:r>
        <w:t xml:space="preserve">Over 18 months, we’ll execute this Marketing Plan with phased milestones:</w:t>
      </w:r>
    </w:p>
    <w:p>
      <w:pPr>
        <w:numPr>
          <w:ilvl w:val="0"/>
          <w:numId w:val="1005"/>
        </w:numPr>
        <w:pStyle w:val="Compact"/>
      </w:pPr>
      <w:r>
        <w:rPr>
          <w:bCs/>
          <w:b/>
        </w:rPr>
        <w:t xml:space="preserve">Months 1-3:</w:t>
      </w:r>
      <w:r>
        <w:t xml:space="preserve"> </w:t>
      </w:r>
      <w:r>
        <w:t xml:space="preserve">Launch "Brussels Research Pulse" newsletter (bilingual) and secure partnerships with ULB/VUB. Target: 500+ Academic Researchers subscribed.</w:t>
      </w:r>
    </w:p>
    <w:p>
      <w:pPr>
        <w:numPr>
          <w:ilvl w:val="0"/>
          <w:numId w:val="1005"/>
        </w:numPr>
        <w:pStyle w:val="Compact"/>
      </w:pPr>
      <w:r>
        <w:rPr>
          <w:bCs/>
          <w:b/>
        </w:rPr>
        <w:t xml:space="preserve">Months 4-6:</w:t>
      </w:r>
      <w:r>
        <w:t xml:space="preserve"> </w:t>
      </w:r>
      <w:r>
        <w:t xml:space="preserve">Host first Horizon Europe Clinic; achieve 75% satisfaction rate from attendees. Target: Secure contracts with 8 Brussels institutions.</w:t>
      </w:r>
    </w:p>
    <w:p>
      <w:pPr>
        <w:numPr>
          <w:ilvl w:val="0"/>
          <w:numId w:val="1005"/>
        </w:numPr>
        <w:pStyle w:val="Compact"/>
      </w:pPr>
      <w:r>
        <w:rPr>
          <w:bCs/>
          <w:b/>
        </w:rPr>
        <w:t xml:space="preserve">Months 7-12:</w:t>
      </w:r>
      <w:r>
        <w:t xml:space="preserve"> </w:t>
      </w:r>
      <w:r>
        <w:t xml:space="preserve">Scale to EU-wide outreach, using Belgium Brussels as a model. Target: Generate €250K in revenue from Academic Researchers in the region.</w:t>
      </w:r>
    </w:p>
    <w:p>
      <w:pPr>
        <w:pStyle w:val="FirstParagraph"/>
      </w:pPr>
      <w:r>
        <w:t xml:space="preserve">Success will be measured through KPIs like researcher retention rate (target: 80%+), grant success rate among users (benchmark: 35% industry average), and qualitative feedback on "relevance to Belgium Brussels context."</w:t>
      </w:r>
    </w:p>
    <w:bookmarkEnd w:id="27"/>
    <w:bookmarkStart w:id="28" w:name="conclusion"/>
    <w:p>
      <w:pPr>
        <w:pStyle w:val="Heading2"/>
      </w:pPr>
      <w:r>
        <w:t xml:space="preserve">Conclusion</w:t>
      </w:r>
    </w:p>
    <w:p>
      <w:pPr>
        <w:pStyle w:val="FirstParagraph"/>
      </w:pPr>
      <w:r>
        <w:t xml:space="preserve">This Marketing Plan is not merely a strategy—it’s a commitment to becoming the indispensable partner for Academic Researchers operating from Belgium Brussels. By embedding ourselves in the city’s academic fabric, speaking their language (literally and figuratively), and solving EU-specific challenges, we transform our offering from an external service into an extension of their research mission. In a region where every grant application could mean the difference between innovation and stagnation, our plan ensures Academic Researchers in Belgium Brussels don’t just survive—they lead. As the epicenter of European research policy, Brussels demands precision; this Marketing Plan delivers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Targeting Academic Researchers in Belgium Brussels</dc:title>
  <dc:creator/>
  <dc:language>en</dc:language>
  <cp:keywords/>
  <dcterms:created xsi:type="dcterms:W3CDTF">2026-07-21T14:09:01Z</dcterms:created>
  <dcterms:modified xsi:type="dcterms:W3CDTF">2026-07-21T14:09:01Z</dcterms:modified>
</cp:coreProperties>
</file>

<file path=docProps/custom.xml><?xml version="1.0" encoding="utf-8"?>
<Properties xmlns="http://schemas.openxmlformats.org/officeDocument/2006/custom-properties" xmlns:vt="http://schemas.openxmlformats.org/officeDocument/2006/docPropsVTypes"/>
</file>