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Montreal,</w:t>
      </w:r>
      <w:r>
        <w:t xml:space="preserve"> </w:t>
      </w:r>
      <w:r>
        <w:t xml:space="preserve">Canada</w:t>
      </w:r>
    </w:p>
    <w:bookmarkStart w:id="32" w:name="X8a2846a538850b0d37dc9db7ad4f58d3ce895c6"/>
    <w:p>
      <w:pPr>
        <w:pStyle w:val="Heading1"/>
      </w:pPr>
      <w:r>
        <w:t xml:space="preserve">Strategic Marketing Plan for Academic Researchers: Targeting Montreal's Research Ecosystem in Canada</w:t>
      </w:r>
    </w:p>
    <w:bookmarkStart w:id="20" w:name="executive-summary"/>
    <w:p>
      <w:pPr>
        <w:pStyle w:val="Heading2"/>
      </w:pPr>
      <w:r>
        <w:t xml:space="preserve">Executive Summary</w:t>
      </w:r>
    </w:p>
    <w:p>
      <w:pPr>
        <w:pStyle w:val="FirstParagraph"/>
      </w:pPr>
      <w:r>
        <w:t xml:space="preserve">This marketing plan outlines a comprehensive strategy for academic researchers operating within Montreal, Canada, to enhance visibility, secure funding, and foster impactful collaborations. Montreal's status as Canada's second-largest research hub—home to 70+ research institutions including McGill University and Université de Montréal—creates unique opportunities for strategic positioning. This plan addresses the specific needs of academic researchers navigating Canada's competitive academic landscape while leveraging Montreal's bilingual environment, cultural assets, and industry partnerships.</w:t>
      </w:r>
    </w:p>
    <w:bookmarkEnd w:id="20"/>
    <w:bookmarkStart w:id="21" w:name="Xcff1229d53bca9e6e20e519dce270031f9c545c"/>
    <w:p>
      <w:pPr>
        <w:pStyle w:val="Heading2"/>
      </w:pPr>
      <w:r>
        <w:t xml:space="preserve">Market Analysis: Montreal as a Research Nexus</w:t>
      </w:r>
    </w:p>
    <w:p>
      <w:pPr>
        <w:pStyle w:val="FirstParagraph"/>
      </w:pPr>
      <w:r>
        <w:t xml:space="preserve">Montreal represents Canada's most dynamic research ecosystem outside of Toronto, with $5.4B in annual research funding (2023) and 15% of all Canadian academic R&amp;D investment. Key differentiators include:</w:t>
      </w:r>
    </w:p>
    <w:p>
      <w:pPr>
        <w:numPr>
          <w:ilvl w:val="0"/>
          <w:numId w:val="1001"/>
        </w:numPr>
        <w:pStyle w:val="Compact"/>
      </w:pPr>
      <w:r>
        <w:rPr>
          <w:bCs/>
          <w:b/>
        </w:rPr>
        <w:t xml:space="preserve">Bilingual Advantage:</w:t>
      </w:r>
      <w:r>
        <w:t xml:space="preserve"> </w:t>
      </w:r>
      <w:r>
        <w:t xml:space="preserve">Montreal's French-English duality requires researchers to navigate both linguistic markets, making communication strategy essential for national and international visibility.</w:t>
      </w:r>
    </w:p>
    <w:p>
      <w:pPr>
        <w:numPr>
          <w:ilvl w:val="0"/>
          <w:numId w:val="1001"/>
        </w:numPr>
        <w:pStyle w:val="Compact"/>
      </w:pPr>
      <w:r>
        <w:rPr>
          <w:bCs/>
          <w:b/>
        </w:rPr>
        <w:t xml:space="preserve">Industry-Academia Synergy:</w:t>
      </w:r>
      <w:r>
        <w:t xml:space="preserve"> </w:t>
      </w:r>
      <w:r>
        <w:t xml:space="preserve">30% of Montreal research involves corporate partnerships (e.g., Bell, Bombardier), creating opportunities beyond traditional academia.</w:t>
      </w:r>
    </w:p>
    <w:p>
      <w:pPr>
        <w:numPr>
          <w:ilvl w:val="0"/>
          <w:numId w:val="1001"/>
        </w:numPr>
        <w:pStyle w:val="Compact"/>
      </w:pPr>
      <w:r>
        <w:rPr>
          <w:bCs/>
          <w:b/>
        </w:rPr>
        <w:t xml:space="preserve">Cultural Capital:</w:t>
      </w:r>
      <w:r>
        <w:t xml:space="preserve"> </w:t>
      </w:r>
      <w:r>
        <w:t xml:space="preserve">UNESCO City of Design status attracts global talent and creative industry collaborations, particularly in AI, health sciences, and environmental studies.</w:t>
      </w:r>
    </w:p>
    <w:p>
      <w:pPr>
        <w:pStyle w:val="FirstParagraph"/>
      </w:pPr>
      <w:r>
        <w:t xml:space="preserve">Competitive gaps exist in researcher visibility—62% of Montreal-based academics struggle to translate research into public impact (Canadian Research Council, 2023). This plan directly addresses these challenges through Montreal-specific tactics.</w:t>
      </w:r>
    </w:p>
    <w:bookmarkEnd w:id="21"/>
    <w:bookmarkStart w:id="22" w:name="Xfbc314825e9b433a0d55414fe732354fa8fda98"/>
    <w:p>
      <w:pPr>
        <w:pStyle w:val="Heading2"/>
      </w:pPr>
      <w:r>
        <w:t xml:space="preserve">Target Audience: Precision-Driven Segmentation</w:t>
      </w:r>
    </w:p>
    <w:p>
      <w:pPr>
        <w:pStyle w:val="FirstParagraph"/>
      </w:pPr>
      <w:r>
        <w:t xml:space="preserve">Our strategy targets three key stakeholder groups within Canada's Montreal ecosystem:</w:t>
      </w:r>
    </w:p>
    <w:p>
      <w:pPr>
        <w:numPr>
          <w:ilvl w:val="0"/>
          <w:numId w:val="1002"/>
        </w:numPr>
        <w:pStyle w:val="Compact"/>
      </w:pPr>
      <w:r>
        <w:rPr>
          <w:bCs/>
          <w:b/>
        </w:rPr>
        <w:t xml:space="preserve">Funding Bodies:</w:t>
      </w:r>
      <w:r>
        <w:t xml:space="preserve"> </w:t>
      </w:r>
      <w:r>
        <w:t xml:space="preserve">NSERC, CIHR, and Quebec’s FQRSC require demonstrable community impact. Marketing must showcase how research solves local challenges (e.g., climate adaptation in the St. Lawrence River basin).</w:t>
      </w:r>
    </w:p>
    <w:p>
      <w:pPr>
        <w:numPr>
          <w:ilvl w:val="0"/>
          <w:numId w:val="1002"/>
        </w:numPr>
        <w:pStyle w:val="Compact"/>
      </w:pPr>
      <w:r>
        <w:rPr>
          <w:bCs/>
          <w:b/>
        </w:rPr>
        <w:t xml:space="preserve">Industry Partners:</w:t>
      </w:r>
      <w:r>
        <w:t xml:space="preserve"> </w:t>
      </w:r>
      <w:r>
        <w:t xml:space="preserve">Montreal's tech sector (12% of Canada's AI talent) prioritizes researchers with applied outcomes. Emphasis on patents, startup collaborations, and Quebec government innovation grants.</w:t>
      </w:r>
    </w:p>
    <w:bookmarkEnd w:id="22"/>
    <w:bookmarkStart w:id="23" w:name="marketing-objectives-12-month-horizon"/>
    <w:p>
      <w:pPr>
        <w:pStyle w:val="Heading2"/>
      </w:pPr>
      <w:r>
        <w:t xml:space="preserve">Marketing Objectives (12-Month Horizon)</w:t>
      </w:r>
    </w:p>
    <w:p>
      <w:pPr>
        <w:pStyle w:val="FirstParagraph"/>
      </w:pPr>
      <w:r>
        <w:t xml:space="preserve">Specific, measurable targets aligned with Montreal's research priorities:</w:t>
      </w:r>
    </w:p>
    <w:p>
      <w:pPr>
        <w:numPr>
          <w:ilvl w:val="0"/>
          <w:numId w:val="1003"/>
        </w:numPr>
        <w:pStyle w:val="Compact"/>
      </w:pPr>
      <w:r>
        <w:t xml:space="preserve">Achieve 30% increase in collaborative projects with Quebec-based industry partners</w:t>
      </w:r>
    </w:p>
    <w:p>
      <w:pPr>
        <w:numPr>
          <w:ilvl w:val="0"/>
          <w:numId w:val="1003"/>
        </w:numPr>
        <w:pStyle w:val="Compact"/>
      </w:pPr>
      <w:r>
        <w:t xml:space="preserve">Secure 4+ federal funding proposals through NSERC’s "Collaborative Research and Development" stream (focusing on Montreal-relevant themes)</w:t>
      </w:r>
    </w:p>
    <w:p>
      <w:pPr>
        <w:numPr>
          <w:ilvl w:val="0"/>
          <w:numId w:val="1003"/>
        </w:numPr>
        <w:pStyle w:val="Compact"/>
      </w:pPr>
      <w:r>
        <w:t xml:space="preserve">Generate 15+ high-impact media mentions in Montreal-specific outlets (e.g., CBC Montreal, La Presse)</w:t>
      </w:r>
    </w:p>
    <w:p>
      <w:pPr>
        <w:numPr>
          <w:ilvl w:val="0"/>
          <w:numId w:val="1003"/>
        </w:numPr>
        <w:pStyle w:val="Compact"/>
      </w:pPr>
      <w:r>
        <w:t xml:space="preserve">Build a bilingual professional network of 500+ relevant contacts within Quebec's research community</w:t>
      </w:r>
    </w:p>
    <w:bookmarkEnd w:id="23"/>
    <w:bookmarkStart w:id="27" w:name="X395cba542288869aead2892b3ce018c7652b787"/>
    <w:p>
      <w:pPr>
        <w:pStyle w:val="Heading2"/>
      </w:pPr>
      <w:r>
        <w:t xml:space="preserve">Strategic Marketing Tactics for Montreal Context</w:t>
      </w:r>
    </w:p>
    <w:bookmarkStart w:id="24" w:name="X0735d21aaf9e86322c00ff5af8c8182d1990563"/>
    <w:p>
      <w:pPr>
        <w:pStyle w:val="Heading3"/>
      </w:pPr>
      <w:r>
        <w:t xml:space="preserve">1. Digital Presence: Montreal-Optimized Content Strategy</w:t>
      </w:r>
    </w:p>
    <w:p>
      <w:pPr>
        <w:pStyle w:val="FirstParagraph"/>
      </w:pPr>
      <w:r>
        <w:t xml:space="preserve">Develop a bilingual (French/English) digital hub featuring:</w:t>
      </w:r>
    </w:p>
    <w:p>
      <w:pPr>
        <w:numPr>
          <w:ilvl w:val="0"/>
          <w:numId w:val="1004"/>
        </w:numPr>
        <w:pStyle w:val="Compact"/>
      </w:pPr>
      <w:r>
        <w:rPr>
          <w:iCs/>
          <w:i/>
        </w:rPr>
        <w:t xml:space="preserve">Montreal-Specific Research Impact Reports:</w:t>
      </w:r>
      <w:r>
        <w:t xml:space="preserve"> </w:t>
      </w:r>
      <w:r>
        <w:t xml:space="preserve">Quarterly publications analyzing research outcomes related to local issues (e.g., "AI Solutions for Public Transit in Montreal," "Health Equity in the Plateau Mont-Royal")</w:t>
      </w:r>
    </w:p>
    <w:p>
      <w:pPr>
        <w:numPr>
          <w:ilvl w:val="0"/>
          <w:numId w:val="1004"/>
        </w:numPr>
        <w:pStyle w:val="Compact"/>
      </w:pPr>
      <w:r>
        <w:rPr>
          <w:iCs/>
          <w:i/>
        </w:rPr>
        <w:t xml:space="preserve">Localized SEO:</w:t>
      </w:r>
      <w:r>
        <w:t xml:space="preserve"> </w:t>
      </w:r>
      <w:r>
        <w:t xml:space="preserve">Target keywords like "Montreal AI researcher," "Quebec health sciences collaboration," and "French-English academic networking"</w:t>
      </w:r>
    </w:p>
    <w:p>
      <w:pPr>
        <w:numPr>
          <w:ilvl w:val="0"/>
          <w:numId w:val="1004"/>
        </w:numPr>
        <w:pStyle w:val="Compact"/>
      </w:pPr>
      <w:r>
        <w:rPr>
          <w:iCs/>
          <w:i/>
        </w:rPr>
        <w:t xml:space="preserve">LinkedIn Campaigns:</w:t>
      </w:r>
      <w:r>
        <w:t xml:space="preserve"> </w:t>
      </w:r>
      <w:r>
        <w:t xml:space="preserve">Geofenced content targeting Montreal-based researchers (using LinkedIn's location filters) with industry-specific case studies</w:t>
      </w:r>
    </w:p>
    <w:bookmarkEnd w:id="24"/>
    <w:bookmarkStart w:id="25" w:name="Xf1d9f9dc5588100db19824558cb6ce61be3e09b"/>
    <w:p>
      <w:pPr>
        <w:pStyle w:val="Heading3"/>
      </w:pPr>
      <w:r>
        <w:t xml:space="preserve">2. Community Integration: Building Montreal Roots</w:t>
      </w:r>
    </w:p>
    <w:p>
      <w:pPr>
        <w:pStyle w:val="FirstParagraph"/>
      </w:pPr>
      <w:r>
        <w:t xml:space="preserve">Leverage Montreal's cultural fabric for authentic engagement:</w:t>
      </w:r>
    </w:p>
    <w:p>
      <w:pPr>
        <w:numPr>
          <w:ilvl w:val="0"/>
          <w:numId w:val="1005"/>
        </w:numPr>
        <w:pStyle w:val="Compact"/>
      </w:pPr>
      <w:r>
        <w:rPr>
          <w:iCs/>
          <w:i/>
        </w:rPr>
        <w:t xml:space="preserve">Partner with Local Institutions:</w:t>
      </w:r>
      <w:r>
        <w:t xml:space="preserve"> </w:t>
      </w:r>
      <w:r>
        <w:t xml:space="preserve">Co-host events at McGill’s Macdonald Campus or Quartier Latin venues (e.g., "Research &amp; Culture" speaker series with Musée des beaux-arts)</w:t>
      </w:r>
    </w:p>
    <w:p>
      <w:pPr>
        <w:numPr>
          <w:ilvl w:val="0"/>
          <w:numId w:val="1005"/>
        </w:numPr>
        <w:pStyle w:val="Compact"/>
      </w:pPr>
      <w:r>
        <w:rPr>
          <w:iCs/>
          <w:i/>
        </w:rPr>
        <w:t xml:space="preserve">Serve on Quebec-Specific Bodies:</w:t>
      </w:r>
      <w:r>
        <w:t xml:space="preserve"> </w:t>
      </w:r>
      <w:r>
        <w:t xml:space="preserve">Apply to QRL (Quebec Research Leadership) committees or Montreal Innovation Hub advisory boards</w:t>
      </w:r>
    </w:p>
    <w:p>
      <w:pPr>
        <w:numPr>
          <w:ilvl w:val="0"/>
          <w:numId w:val="1005"/>
        </w:numPr>
        <w:pStyle w:val="Compact"/>
      </w:pPr>
      <w:r>
        <w:rPr>
          <w:iCs/>
          <w:i/>
        </w:rPr>
        <w:t xml:space="preserve">Language Strategy:</w:t>
      </w:r>
      <w:r>
        <w:t xml:space="preserve"> </w:t>
      </w:r>
      <w:r>
        <w:t xml:space="preserve">All communications bilingual; French content developed with local Quebecois linguists to ensure cultural resonance</w:t>
      </w:r>
    </w:p>
    <w:bookmarkEnd w:id="25"/>
    <w:bookmarkStart w:id="26" w:name="X434448bf2923879834cec6053900d45eddc94d3"/>
    <w:p>
      <w:pPr>
        <w:pStyle w:val="Heading3"/>
      </w:pPr>
      <w:r>
        <w:t xml:space="preserve">3. Funding &amp; Industry Alignment: Canada-Specific Pathways</w:t>
      </w:r>
    </w:p>
    <w:p>
      <w:pPr>
        <w:pStyle w:val="FirstParagraph"/>
      </w:pPr>
      <w:r>
        <w:t xml:space="preserve">Tailor proposals to Montreal's funding priorities:</w:t>
      </w:r>
    </w:p>
    <w:p>
      <w:pPr>
        <w:numPr>
          <w:ilvl w:val="0"/>
          <w:numId w:val="1006"/>
        </w:numPr>
        <w:pStyle w:val="Compact"/>
      </w:pPr>
      <w:r>
        <w:rPr>
          <w:iCs/>
          <w:i/>
        </w:rPr>
        <w:t xml:space="preserve">NSERC Strategic Alliances:</w:t>
      </w:r>
      <w:r>
        <w:t xml:space="preserve"> </w:t>
      </w:r>
      <w:r>
        <w:t xml:space="preserve">Focus on Quebec’s "Innovation Fund" requirements emphasizing local job creation (e.g., "AI for Montreal City Services")</w:t>
      </w:r>
    </w:p>
    <w:p>
      <w:pPr>
        <w:numPr>
          <w:ilvl w:val="0"/>
          <w:numId w:val="1006"/>
        </w:numPr>
        <w:pStyle w:val="Compact"/>
      </w:pPr>
      <w:r>
        <w:rPr>
          <w:iCs/>
          <w:i/>
        </w:rPr>
        <w:t xml:space="preserve">Industry Co-Development:</w:t>
      </w:r>
      <w:r>
        <w:t xml:space="preserve"> </w:t>
      </w:r>
      <w:r>
        <w:t xml:space="preserve">Pitch projects to Montreal-based companies (e.g., Bombardier, Element AI) with clear ROI metrics for Canadian markets</w:t>
      </w:r>
    </w:p>
    <w:p>
      <w:pPr>
        <w:numPr>
          <w:ilvl w:val="0"/>
          <w:numId w:val="1006"/>
        </w:numPr>
        <w:pStyle w:val="Compact"/>
      </w:pPr>
      <w:r>
        <w:rPr>
          <w:iCs/>
          <w:i/>
        </w:rPr>
        <w:t xml:space="preserve">National Recognition:</w:t>
      </w:r>
      <w:r>
        <w:t xml:space="preserve"> </w:t>
      </w:r>
      <w:r>
        <w:t xml:space="preserve">Target Canada-wide awards like the Governor General's Academic Medal through Montreal-centric narratives (e.g., "Research Transforming Quebec’s Energy Landscape")</w:t>
      </w:r>
    </w:p>
    <w:bookmarkEnd w:id="26"/>
    <w:bookmarkEnd w:id="27"/>
    <w:bookmarkStart w:id="28" w:name="budget-allocation-montreal-focused"/>
    <w:p>
      <w:pPr>
        <w:pStyle w:val="Heading2"/>
      </w:pPr>
      <w:r>
        <w:t xml:space="preserve">Budget Allocation (Montreal-Focused)</w:t>
      </w:r>
    </w:p>
    <w:p>
      <w:pPr>
        <w:pStyle w:val="FirstParagraph"/>
      </w:pPr>
      <w:r>
        <w:t xml:space="preserve">Category</w:t>
      </w:r>
    </w:p>
    <w:p>
      <w:pPr>
        <w:pStyle w:val="BodyText"/>
      </w:pPr>
      <w:r>
        <w:t xml:space="preserve">Allocation (%)</w:t>
      </w:r>
    </w:p>
    <w:p>
      <w:pPr>
        <w:pStyle w:val="BodyText"/>
      </w:pPr>
      <w:r>
        <w:t xml:space="preserve">Montreal-Specific Application</w:t>
      </w:r>
    </w:p>
    <w:p>
      <w:pPr>
        <w:pStyle w:val="BodyText"/>
      </w:pPr>
      <w:r>
        <w:t xml:space="preserve">Digital Campaigns (SEO/content)</w:t>
      </w:r>
    </w:p>
    <w:p>
      <w:pPr>
        <w:pStyle w:val="BodyText"/>
      </w:pPr>
      <w:r>
        <w:t xml:space="preserve">35%</w:t>
      </w:r>
    </w:p>
    <w:p>
      <w:pPr>
        <w:pStyle w:val="BodyText"/>
      </w:pPr>
      <w:r>
        <w:t xml:space="preserve">Bilingual platform development, Montreal keyword targeting</w:t>
      </w:r>
    </w:p>
    <w:p>
      <w:pPr>
        <w:pStyle w:val="BodyText"/>
      </w:pPr>
      <w:r>
        <w:t xml:space="preserve">Community Engagement (events/partnerships)</w:t>
      </w:r>
    </w:p>
    <w:p>
      <w:pPr>
        <w:pStyle w:val="BodyText"/>
      </w:pPr>
      <w:r>
        <w:t xml:space="preserve">40%</w:t>
      </w:r>
    </w:p>
    <w:p>
      <w:pPr>
        <w:pStyle w:val="BodyText"/>
      </w:pPr>
      <w:r>
        <w:t xml:space="preserve">Collaboration with local venues (e.g., Maison de la culture)</w:t>
      </w:r>
    </w:p>
    <w:p>
      <w:pPr>
        <w:pStyle w:val="BodyText"/>
      </w:pPr>
      <w:r>
        <w:t xml:space="preserve">Funding Proposal Support</w:t>
      </w:r>
    </w:p>
    <w:p>
      <w:pPr>
        <w:pStyle w:val="BodyText"/>
      </w:pPr>
      <w:r>
        <w:t xml:space="preserve">20%</w:t>
      </w:r>
    </w:p>
    <w:p>
      <w:pPr>
        <w:pStyle w:val="BodyText"/>
      </w:pPr>
      <w:r>
        <w:t xml:space="preserve">Negotiating Quebec-specific grant requirements</w:t>
      </w:r>
    </w:p>
    <w:p>
      <w:pPr>
        <w:pStyle w:val="BodyText"/>
      </w:pPr>
      <w:r>
        <w:t xml:space="preserve">Evaluation &amp; Analytics</w:t>
      </w:r>
    </w:p>
    <w:p>
      <w:pPr>
        <w:pStyle w:val="BodyText"/>
      </w:pPr>
      <w:r>
        <w:t xml:space="preserve">5%</w:t>
      </w:r>
    </w:p>
    <w:p>
      <w:pPr>
        <w:pStyle w:val="BodyText"/>
      </w:pPr>
      <w:r>
        <w:t xml:space="preserve">Tracking Montreal media mentions and local partnership growth</w:t>
      </w:r>
    </w:p>
    <w:bookmarkEnd w:id="28"/>
    <w:bookmarkStart w:id="29" w:name="X5c070f4d6b5d0b3f52e3b966f366b330ee18b89"/>
    <w:p>
      <w:pPr>
        <w:pStyle w:val="Heading2"/>
      </w:pPr>
      <w:r>
        <w:t xml:space="preserve">Implementation Timeline: Montreal Quarterly Focus</w:t>
      </w:r>
    </w:p>
    <w:p>
      <w:pPr>
        <w:numPr>
          <w:ilvl w:val="0"/>
          <w:numId w:val="1007"/>
        </w:numPr>
        <w:pStyle w:val="Compact"/>
      </w:pPr>
      <w:r>
        <w:rPr>
          <w:bCs/>
          <w:b/>
        </w:rPr>
        <w:t xml:space="preserve">Q1 (Winter):</w:t>
      </w:r>
      <w:r>
        <w:t xml:space="preserve"> </w:t>
      </w:r>
      <w:r>
        <w:t xml:space="preserve">Establish bilingual digital presence; secure 3 Montreal-based institutional partnerships</w:t>
      </w:r>
    </w:p>
    <w:p>
      <w:pPr>
        <w:numPr>
          <w:ilvl w:val="0"/>
          <w:numId w:val="1007"/>
        </w:numPr>
        <w:pStyle w:val="Compact"/>
      </w:pPr>
      <w:r>
        <w:rPr>
          <w:bCs/>
          <w:b/>
        </w:rPr>
        <w:t xml:space="preserve">Q2 (Spring):</w:t>
      </w:r>
      <w:r>
        <w:t xml:space="preserve"> </w:t>
      </w:r>
      <w:r>
        <w:t xml:space="preserve">Launch "Montreal Impact" content series; pitch industry proposals to 5 Quebec firms</w:t>
      </w:r>
    </w:p>
    <w:p>
      <w:pPr>
        <w:numPr>
          <w:ilvl w:val="0"/>
          <w:numId w:val="1007"/>
        </w:numPr>
        <w:pStyle w:val="Compact"/>
      </w:pPr>
      <w:r>
        <w:rPr>
          <w:bCs/>
          <w:b/>
        </w:rPr>
        <w:t xml:space="preserve">Q3 (Summer):</w:t>
      </w:r>
      <w:r>
        <w:t xml:space="preserve"> </w:t>
      </w:r>
      <w:r>
        <w:t xml:space="preserve">Host first Montreal-focused event at a cultural venue; target NSERC pre-proposals</w:t>
      </w:r>
    </w:p>
    <w:p>
      <w:pPr>
        <w:numPr>
          <w:ilvl w:val="0"/>
          <w:numId w:val="1007"/>
        </w:numPr>
        <w:pStyle w:val="Compact"/>
      </w:pPr>
      <w:r>
        <w:rPr>
          <w:bCs/>
          <w:b/>
        </w:rPr>
        <w:t xml:space="preserve">Q4 (Fall):</w:t>
      </w:r>
      <w:r>
        <w:t xml:space="preserve"> </w:t>
      </w:r>
      <w:r>
        <w:t xml:space="preserve">Analyze local media coverage; refine strategy for 2025 funding rounds</w:t>
      </w:r>
    </w:p>
    <w:bookmarkEnd w:id="29"/>
    <w:bookmarkStart w:id="30" w:name="X83b0a96b32446af1decac722b2c838524aa9646"/>
    <w:p>
      <w:pPr>
        <w:pStyle w:val="Heading2"/>
      </w:pPr>
      <w:r>
        <w:t xml:space="preserve">Evaluation Metrics: Measuring Montreal Success</w:t>
      </w:r>
    </w:p>
    <w:p>
      <w:pPr>
        <w:pStyle w:val="FirstParagraph"/>
      </w:pPr>
      <w:r>
        <w:t xml:space="preserve">Success will be measured using Montreal-specific KPIs:</w:t>
      </w:r>
    </w:p>
    <w:p>
      <w:pPr>
        <w:numPr>
          <w:ilvl w:val="0"/>
          <w:numId w:val="1008"/>
        </w:numPr>
        <w:pStyle w:val="Compact"/>
      </w:pPr>
      <w:r>
        <w:rPr>
          <w:iCs/>
          <w:i/>
        </w:rPr>
        <w:t xml:space="preserve">Visibility:</w:t>
      </w:r>
      <w:r>
        <w:t xml:space="preserve"> </w:t>
      </w:r>
      <w:r>
        <w:t xml:space="preserve">40% increase in Montreal-based media mentions (tracking CBC Montreal, Radio-Canada)</w:t>
      </w:r>
    </w:p>
    <w:p>
      <w:pPr>
        <w:numPr>
          <w:ilvl w:val="0"/>
          <w:numId w:val="1008"/>
        </w:numPr>
        <w:pStyle w:val="Compact"/>
      </w:pPr>
      <w:r>
        <w:rPr>
          <w:iCs/>
          <w:i/>
        </w:rPr>
        <w:t xml:space="preserve">Collaboration Rate:</w:t>
      </w:r>
      <w:r>
        <w:t xml:space="preserve"> </w:t>
      </w:r>
      <w:r>
        <w:t xml:space="preserve">25% growth in Quebec industry partnership agreements</w:t>
      </w:r>
    </w:p>
    <w:p>
      <w:pPr>
        <w:numPr>
          <w:ilvl w:val="0"/>
          <w:numId w:val="1008"/>
        </w:numPr>
        <w:pStyle w:val="Compact"/>
      </w:pPr>
      <w:r>
        <w:rPr>
          <w:iCs/>
          <w:i/>
        </w:rPr>
        <w:t xml:space="preserve">Funding Impact:</w:t>
      </w:r>
      <w:r>
        <w:t xml:space="preserve"> </w:t>
      </w:r>
      <w:r>
        <w:t xml:space="preserve">3+ successful NSERC/CIHR proposals citing Montreal-specific impact</w:t>
      </w:r>
    </w:p>
    <w:p>
      <w:pPr>
        <w:numPr>
          <w:ilvl w:val="0"/>
          <w:numId w:val="1008"/>
        </w:numPr>
        <w:pStyle w:val="Compact"/>
      </w:pPr>
      <w:r>
        <w:rPr>
          <w:iCs/>
          <w:i/>
        </w:rPr>
        <w:t xml:space="preserve">Network Depth:</w:t>
      </w:r>
      <w:r>
        <w:t xml:space="preserve"> </w:t>
      </w:r>
      <w:r>
        <w:t xml:space="preserve">60% of new connections from Montreal-based institutions (verified via LinkedIn)</w:t>
      </w:r>
    </w:p>
    <w:bookmarkEnd w:id="30"/>
    <w:bookmarkStart w:id="31" w:name="Xb4959393996a0746030c0dc62d816f1c0ae57e3"/>
    <w:p>
      <w:pPr>
        <w:pStyle w:val="Heading2"/>
      </w:pPr>
      <w:r>
        <w:t xml:space="preserve">Conclusion: Strategic Positioning in Canada's Research Heartland</w:t>
      </w:r>
    </w:p>
    <w:p>
      <w:pPr>
        <w:pStyle w:val="FirstParagraph"/>
      </w:pPr>
      <w:r>
        <w:t xml:space="preserve">This marketing plan positions academic researchers not as passive participants in Canada's research system, but as strategic architects of Montreal’s innovation identity. By embedding Montreal’s cultural context into every tactic—from bilingual content to Quebec industry partnerships—we transform the researcher from a subject of academic discourse into an active catalyst for local and national advancement. In Canada’s evolving research landscape, this plan ensures Montreal-based academics don’t just participate in the Canadian conversation—they lead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Montreal, Canada</dc:title>
  <dc:creator/>
  <dc:language>en</dc:language>
  <cp:keywords/>
  <dcterms:created xsi:type="dcterms:W3CDTF">2025-12-13T09:53:23Z</dcterms:created>
  <dcterms:modified xsi:type="dcterms:W3CDTF">2025-12-13T09:53:23Z</dcterms:modified>
</cp:coreProperties>
</file>

<file path=docProps/custom.xml><?xml version="1.0" encoding="utf-8"?>
<Properties xmlns="http://schemas.openxmlformats.org/officeDocument/2006/custom-properties" xmlns:vt="http://schemas.openxmlformats.org/officeDocument/2006/docPropsVTypes"/>
</file>