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Academic</w:t>
      </w:r>
      <w:r>
        <w:t xml:space="preserve"> </w:t>
      </w:r>
      <w:r>
        <w:t xml:space="preserve">Researcher</w:t>
      </w:r>
      <w:r>
        <w:t xml:space="preserve"> </w:t>
      </w:r>
      <w:r>
        <w:t xml:space="preserve">Services</w:t>
      </w:r>
      <w:r>
        <w:t xml:space="preserve"> </w:t>
      </w:r>
      <w:r>
        <w:t xml:space="preserve">for</w:t>
      </w:r>
      <w:r>
        <w:t xml:space="preserve"> </w:t>
      </w:r>
      <w:r>
        <w:t xml:space="preserve">Canada</w:t>
      </w:r>
      <w:r>
        <w:t xml:space="preserve"> </w:t>
      </w:r>
      <w:r>
        <w:t xml:space="preserve">Toronto</w:t>
      </w:r>
    </w:p>
    <w:bookmarkStart w:id="32" w:name="X936f4eff244ef3e096959c06251e0e6acf75a9f"/>
    <w:p>
      <w:pPr>
        <w:pStyle w:val="Heading1"/>
      </w:pPr>
      <w:r>
        <w:t xml:space="preserve">Strategic Marketing Plan for Academic Researcher Services in Canada Toronto</w:t>
      </w:r>
    </w:p>
    <w:bookmarkStart w:id="20" w:name="executive-summary"/>
    <w:p>
      <w:pPr>
        <w:pStyle w:val="Heading2"/>
      </w:pPr>
      <w:r>
        <w:t xml:space="preserve">Executive Summary</w:t>
      </w:r>
    </w:p>
    <w:p>
      <w:pPr>
        <w:pStyle w:val="FirstParagraph"/>
      </w:pPr>
      <w:r>
        <w:t xml:space="preserve">This comprehensive marketing plan outlines the strategic approach to position our specialized academic research support services within the competitive landscape of Canada's premier research hub: Toronto. Targeting academic researchers at institutions like University of Toronto, York University, and McMaster University, this plan addresses critical needs including grant acquisition, data management, and publication support. With Toronto hosting 25% of Canada's top-tier research universities and $7B+ in annual research funding, our tailored solutions will empower researchers to accelerate impact while navigating Canada's unique academic ecosystem. The strategy focuses on building trusted partnerships through localized expertise across Canada Toronto's academic community.</w:t>
      </w:r>
    </w:p>
    <w:bookmarkEnd w:id="20"/>
    <w:bookmarkStart w:id="21" w:name="Xb48c47514b0f56f2c81d04f5bc889ec5fc0c08f"/>
    <w:p>
      <w:pPr>
        <w:pStyle w:val="Heading2"/>
      </w:pPr>
      <w:r>
        <w:t xml:space="preserve">Market Analysis: Toronto Academic Research Landscape</w:t>
      </w:r>
    </w:p>
    <w:p>
      <w:pPr>
        <w:pStyle w:val="FirstParagraph"/>
      </w:pPr>
      <w:r>
        <w:t xml:space="preserve">Canada Toronto represents a dynamic research ecosystem with 15+ major research-intensive universities generating over 35,000 peer-reviewed publications annually. Key market insights include:</w:t>
      </w:r>
    </w:p>
    <w:p>
      <w:pPr>
        <w:numPr>
          <w:ilvl w:val="0"/>
          <w:numId w:val="1001"/>
        </w:numPr>
        <w:pStyle w:val="Compact"/>
      </w:pPr>
      <w:r>
        <w:rPr>
          <w:bCs/>
          <w:b/>
        </w:rPr>
        <w:t xml:space="preserve">Grant Competition:</w:t>
      </w:r>
      <w:r>
        <w:t xml:space="preserve"> </w:t>
      </w:r>
      <w:r>
        <w:t xml:space="preserve">Researchers face intense competition for Canada Research Chairs (CRC) and NSERC funding, with only 22% success rates in 2023</w:t>
      </w:r>
    </w:p>
    <w:p>
      <w:pPr>
        <w:numPr>
          <w:ilvl w:val="0"/>
          <w:numId w:val="1001"/>
        </w:numPr>
        <w:pStyle w:val="Compact"/>
      </w:pPr>
      <w:r>
        <w:rPr>
          <w:bCs/>
          <w:b/>
        </w:rPr>
        <w:t xml:space="preserve">Regional Challenges:</w:t>
      </w:r>
      <w:r>
        <w:t xml:space="preserve"> </w:t>
      </w:r>
      <w:r>
        <w:t xml:space="preserve">Toronto-specific pain points include navigating Ontario's provincial research grant systems and bridging international collaboration gaps with Canada's academic standards</w:t>
      </w:r>
    </w:p>
    <w:p>
      <w:pPr>
        <w:numPr>
          <w:ilvl w:val="0"/>
          <w:numId w:val="1001"/>
        </w:numPr>
        <w:pStyle w:val="Compact"/>
      </w:pPr>
      <w:r>
        <w:rPr>
          <w:bCs/>
          <w:b/>
        </w:rPr>
        <w:t xml:space="preserve">Competitive Gap:</w:t>
      </w:r>
      <w:r>
        <w:t xml:space="preserve"> </w:t>
      </w:r>
      <w:r>
        <w:t xml:space="preserve">Existing services lack hyper-local Toronto expertise in Canadian regulatory frameworks (e.g., Tri-Council Policy Statement) and institutional nuances</w:t>
      </w:r>
    </w:p>
    <w:p>
      <w:pPr>
        <w:pStyle w:val="FirstParagraph"/>
      </w:pPr>
      <w:r>
        <w:t xml:space="preserve">This plan capitalizes on Toronto's status as Canada's research capital, where 40% of federal research funding is allocated to the Greater Toronto Area. We will differentiate by embedding deep knowledge of Canada Toronto's academic infrastructure into every service offering.</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2"/>
        </w:numPr>
        <w:pStyle w:val="Compact"/>
      </w:pPr>
      <w:r>
        <w:rPr>
          <w:bCs/>
          <w:b/>
        </w:rPr>
        <w:t xml:space="preserve">Early-Career Researchers:</w:t>
      </w:r>
      <w:r>
        <w:t xml:space="preserve"> </w:t>
      </w:r>
      <w:r>
        <w:t xml:space="preserve">Postdocs and assistant professors at Toronto institutions seeking grant writing support (55% of target segment)</w:t>
      </w:r>
    </w:p>
    <w:p>
      <w:pPr>
        <w:numPr>
          <w:ilvl w:val="0"/>
          <w:numId w:val="1002"/>
        </w:numPr>
        <w:pStyle w:val="Compact"/>
      </w:pPr>
      <w:r>
        <w:rPr>
          <w:bCs/>
          <w:b/>
        </w:rPr>
        <w:t xml:space="preserve">Research Administrators:</w:t>
      </w:r>
      <w:r>
        <w:t xml:space="preserve"> </w:t>
      </w:r>
      <w:r>
        <w:t xml:space="preserve">University staff managing grants and compliance at Toronto institutions (15% of target)</w:t>
      </w:r>
    </w:p>
    <w:p>
      <w:pPr>
        <w:pStyle w:val="FirstParagraph"/>
      </w:pPr>
      <w:r>
        <w:t xml:space="preserve">We will tailor messaging to address Canada-specific concerns: optimizing for Canadian funding bodies (CIHR, NSERC), understanding provincial requirements (Ontario Research Fund), and leveraging Toronto's biotech corridor partnerships.</w:t>
      </w:r>
    </w:p>
    <w:bookmarkEnd w:id="22"/>
    <w:bookmarkStart w:id="23" w:name="marketing-objectives"/>
    <w:p>
      <w:pPr>
        <w:pStyle w:val="Heading2"/>
      </w:pPr>
      <w:r>
        <w:t xml:space="preserve">Marketing Objectives</w:t>
      </w:r>
    </w:p>
    <w:p>
      <w:pPr>
        <w:numPr>
          <w:ilvl w:val="0"/>
          <w:numId w:val="1003"/>
        </w:numPr>
        <w:pStyle w:val="Compact"/>
      </w:pPr>
      <w:r>
        <w:rPr>
          <w:bCs/>
          <w:b/>
        </w:rPr>
        <w:t xml:space="preserve">Brand Awareness:</w:t>
      </w:r>
      <w:r>
        <w:t xml:space="preserve"> </w:t>
      </w:r>
      <w:r>
        <w:t xml:space="preserve">Achieve 70% recognition among Toronto academic researchers within 18 months</w:t>
      </w:r>
    </w:p>
    <w:p>
      <w:pPr>
        <w:numPr>
          <w:ilvl w:val="0"/>
          <w:numId w:val="1003"/>
        </w:numPr>
        <w:pStyle w:val="Compact"/>
      </w:pPr>
      <w:r>
        <w:rPr>
          <w:bCs/>
          <w:b/>
        </w:rPr>
        <w:t xml:space="preserve">Lead Generation:</w:t>
      </w:r>
      <w:r>
        <w:t xml:space="preserve"> </w:t>
      </w:r>
      <w:r>
        <w:t xml:space="preserve">Secure 300 qualified leads from Canada Toronto institutions in Year 1 (25% conversion to clients)</w:t>
      </w:r>
    </w:p>
    <w:p>
      <w:pPr>
        <w:numPr>
          <w:ilvl w:val="0"/>
          <w:numId w:val="1003"/>
        </w:numPr>
        <w:pStyle w:val="Compact"/>
      </w:pPr>
      <w:r>
        <w:rPr>
          <w:bCs/>
          <w:b/>
        </w:rPr>
        <w:t xml:space="preserve">Market Positioning:</w:t>
      </w:r>
      <w:r>
        <w:t xml:space="preserve"> </w:t>
      </w:r>
      <w:r>
        <w:t xml:space="preserve">Establish as the #1 Toronto-based research support provider specializing in Canadian academic compliance</w:t>
      </w:r>
    </w:p>
    <w:bookmarkEnd w:id="23"/>
    <w:bookmarkStart w:id="27" w:name="core-marketing-strategies-tactics"/>
    <w:p>
      <w:pPr>
        <w:pStyle w:val="Heading2"/>
      </w:pPr>
      <w:r>
        <w:t xml:space="preserve">Core Marketing Strategies &amp; Tactics</w:t>
      </w:r>
    </w:p>
    <w:p>
      <w:pPr>
        <w:pStyle w:val="FirstParagraph"/>
      </w:pPr>
      <w:r>
        <w:t xml:space="preserve">Our Toronto-focused approach integrates digital, relationship-driven, and educational tactics:</w:t>
      </w:r>
    </w:p>
    <w:bookmarkStart w:id="24" w:name="tactic-1-hyper-local-content-ecosystem"/>
    <w:p>
      <w:pPr>
        <w:pStyle w:val="Heading3"/>
      </w:pPr>
      <w:r>
        <w:t xml:space="preserve">Tactic 1: Hyper-Local Content Ecosystem</w:t>
      </w:r>
    </w:p>
    <w:p>
      <w:pPr>
        <w:numPr>
          <w:ilvl w:val="0"/>
          <w:numId w:val="1004"/>
        </w:numPr>
        <w:pStyle w:val="Compact"/>
      </w:pPr>
      <w:r>
        <w:t xml:space="preserve">Create "Toronto Research Navigator" webinar series featuring University of Toronto grant officers discussing Canada-specific funding streams</w:t>
      </w:r>
    </w:p>
    <w:p>
      <w:pPr>
        <w:numPr>
          <w:ilvl w:val="0"/>
          <w:numId w:val="1004"/>
        </w:numPr>
        <w:pStyle w:val="Compact"/>
      </w:pPr>
      <w:r>
        <w:t xml:space="preserve">Develop region-specific guides: "NSERC Application Guide for Toronto Researchers" and "Ontario Provincial Funding Pathways"</w:t>
      </w:r>
    </w:p>
    <w:p>
      <w:pPr>
        <w:numPr>
          <w:ilvl w:val="0"/>
          <w:numId w:val="1004"/>
        </w:numPr>
        <w:pStyle w:val="Compact"/>
      </w:pPr>
      <w:r>
        <w:t xml:space="preserve">Partner with Canadian academic influencers (e.g., @UofTResearch on Twitter) for co-branded Toronto research impact reports</w:t>
      </w:r>
    </w:p>
    <w:bookmarkEnd w:id="24"/>
    <w:bookmarkStart w:id="25" w:name="tactic-2-institutional-partnerships"/>
    <w:p>
      <w:pPr>
        <w:pStyle w:val="Heading3"/>
      </w:pPr>
      <w:r>
        <w:t xml:space="preserve">Tactic 2: Institutional Partnerships</w:t>
      </w:r>
    </w:p>
    <w:p>
      <w:pPr>
        <w:numPr>
          <w:ilvl w:val="0"/>
          <w:numId w:val="1005"/>
        </w:numPr>
        <w:pStyle w:val="Compact"/>
      </w:pPr>
      <w:r>
        <w:t xml:space="preserve">Secure formal partnerships with 5+ Toronto universities through their research offices (e.g., University of Toronto's Office of the Vice-Provost, Research)</w:t>
      </w:r>
    </w:p>
    <w:p>
      <w:pPr>
        <w:numPr>
          <w:ilvl w:val="0"/>
          <w:numId w:val="1005"/>
        </w:numPr>
        <w:pStyle w:val="Compact"/>
      </w:pPr>
      <w:r>
        <w:t xml:space="preserve">Embed services directly into university training programs (e.g., "Grant Writing Bootcamp" at York University)</w:t>
      </w:r>
    </w:p>
    <w:p>
      <w:pPr>
        <w:numPr>
          <w:ilvl w:val="0"/>
          <w:numId w:val="1005"/>
        </w:numPr>
        <w:pStyle w:val="Compact"/>
      </w:pPr>
      <w:r>
        <w:t xml:space="preserve">Certify team members as Canada-specific research consultants recognized by Ontario Universities' Council on Academic Affairs</w:t>
      </w:r>
    </w:p>
    <w:bookmarkEnd w:id="25"/>
    <w:bookmarkStart w:id="26" w:name="tactic-3-toronto-community-engagement"/>
    <w:p>
      <w:pPr>
        <w:pStyle w:val="Heading3"/>
      </w:pPr>
      <w:r>
        <w:t xml:space="preserve">Tactic 3: Toronto Community Engagement</w:t>
      </w:r>
    </w:p>
    <w:p>
      <w:pPr>
        <w:numPr>
          <w:ilvl w:val="0"/>
          <w:numId w:val="1006"/>
        </w:numPr>
        <w:pStyle w:val="Compact"/>
      </w:pPr>
      <w:r>
        <w:t xml:space="preserve">Sponsor key Toronto academic events: "Toronto Research Symposium" (hosted by CIHR) and "Ontario Faculty Development Conference"</w:t>
      </w:r>
    </w:p>
    <w:p>
      <w:pPr>
        <w:numPr>
          <w:ilvl w:val="0"/>
          <w:numId w:val="1006"/>
        </w:numPr>
        <w:pStyle w:val="Compact"/>
      </w:pPr>
      <w:r>
        <w:t xml:space="preserve">Host monthly networking coffee chats at Toronto research hubs (e.g., MaRS Discovery District, St. George Campus)</w:t>
      </w:r>
    </w:p>
    <w:p>
      <w:pPr>
        <w:numPr>
          <w:ilvl w:val="0"/>
          <w:numId w:val="1006"/>
        </w:numPr>
        <w:pStyle w:val="Compact"/>
      </w:pPr>
      <w:r>
        <w:t xml:space="preserve">Launch "Researcher Support Hub" physical space in downtown Toronto for client consultations</w:t>
      </w:r>
    </w:p>
    <w:bookmarkEnd w:id="26"/>
    <w:bookmarkEnd w:id="27"/>
    <w:bookmarkStart w:id="28" w:name="budget-allocation-canada-toronto-focus"/>
    <w:p>
      <w:pPr>
        <w:pStyle w:val="Heading2"/>
      </w:pPr>
      <w:r>
        <w:t xml:space="preserve">Budget Allocation: Canada Toronto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Budget)</w:t>
            </w:r>
          </w:p>
        </w:tc>
        <w:tc>
          <w:tcPr/>
          <w:p>
            <w:pPr>
              <w:pStyle w:val="Compact"/>
              <w:jc w:val="left"/>
            </w:pPr>
            <w:r>
              <w:t xml:space="preserve">Toronto-Specific Justification</w:t>
            </w:r>
          </w:p>
        </w:tc>
      </w:tr>
      <w:tr>
        <w:tc>
          <w:tcPr/>
          <w:p>
            <w:pPr>
              <w:pStyle w:val="Compact"/>
              <w:jc w:val="left"/>
            </w:pPr>
            <w:r>
              <w:t xml:space="preserve">Institutional Partnerships &amp; Events</w:t>
            </w:r>
          </w:p>
        </w:tc>
        <w:tc>
          <w:tcPr/>
          <w:p>
            <w:pPr>
              <w:pStyle w:val="Compact"/>
              <w:jc w:val="left"/>
            </w:pPr>
            <w:r>
              <w:t xml:space="preserve">35%</w:t>
            </w:r>
          </w:p>
        </w:tc>
        <w:tc>
          <w:tcPr/>
          <w:p>
            <w:pPr>
              <w:pStyle w:val="Compact"/>
              <w:jc w:val="left"/>
            </w:pPr>
            <w:r>
              <w:t xml:space="preserve">Sponsorship of 4 Toronto research conferences; local staff travel to university offices</w:t>
            </w:r>
          </w:p>
        </w:tc>
      </w:tr>
      <w:tr>
        <w:tc>
          <w:tcPr/>
          <w:p>
            <w:pPr>
              <w:pStyle w:val="Compact"/>
              <w:jc w:val="left"/>
            </w:pPr>
            <w:r>
              <w:t xml:space="preserve">Digital Marketing (SEO/Content)</w:t>
            </w:r>
          </w:p>
        </w:tc>
        <w:tc>
          <w:tcPr/>
          <w:p>
            <w:pPr>
              <w:pStyle w:val="Compact"/>
              <w:jc w:val="left"/>
            </w:pPr>
            <w:r>
              <w:t xml:space="preserve">25%</w:t>
            </w:r>
          </w:p>
        </w:tc>
        <w:tc>
          <w:tcPr/>
          <w:p>
            <w:pPr>
              <w:pStyle w:val="Compact"/>
              <w:jc w:val="left"/>
            </w:pPr>
            <w:r>
              <w:t xml:space="preserve">Toronto-specific keyword targeting ("NSERC grant help Toronto"); Google Ads geo-fenced to Canada's top research cities</w:t>
            </w:r>
          </w:p>
        </w:tc>
      </w:tr>
      <w:tr>
        <w:tc>
          <w:tcPr/>
          <w:p>
            <w:pPr>
              <w:pStyle w:val="Compact"/>
              <w:jc w:val="left"/>
            </w:pPr>
            <w:r>
              <w:t xml:space="preserve">Local Content Creation</w:t>
            </w:r>
          </w:p>
        </w:tc>
        <w:tc>
          <w:tcPr/>
          <w:p>
            <w:pPr>
              <w:pStyle w:val="Compact"/>
              <w:jc w:val="left"/>
            </w:pPr>
            <w:r>
              <w:t xml:space="preserve">20%</w:t>
            </w:r>
          </w:p>
        </w:tc>
        <w:tc>
          <w:tcPr/>
          <w:p>
            <w:pPr>
              <w:pStyle w:val="Compact"/>
              <w:jc w:val="left"/>
            </w:pPr>
            <w:r>
              <w:t xml:space="preserve">Dedicated Toronto team for regional content; print materials at Canadian academic conferences</w:t>
            </w:r>
          </w:p>
        </w:tc>
      </w:tr>
      <w:tr>
        <w:tc>
          <w:tcPr/>
          <w:p>
            <w:pPr>
              <w:pStyle w:val="Compact"/>
              <w:jc w:val="left"/>
            </w:pPr>
            <w:r>
              <w:t xml:space="preserve">Community Engagement</w:t>
            </w:r>
          </w:p>
        </w:tc>
        <w:tc>
          <w:tcPr/>
          <w:p>
            <w:pPr>
              <w:pStyle w:val="Compact"/>
              <w:jc w:val="left"/>
            </w:pPr>
            <w:r>
              <w:t xml:space="preserve">15%</w:t>
            </w:r>
          </w:p>
        </w:tc>
        <w:tc>
          <w:tcPr/>
          <w:p>
            <w:pPr>
              <w:pStyle w:val="Compact"/>
              <w:jc w:val="left"/>
            </w:pPr>
            <w:r>
              <w:t xml:space="preserve">Toronto-based event hosting; physical hub setup in downtown core</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Toronto-specific KPI tracking via university partnership dashboards</w:t>
            </w:r>
          </w:p>
        </w:tc>
      </w:tr>
    </w:tbl>
    <w:bookmarkEnd w:id="28"/>
    <w:bookmarkStart w:id="29" w:name="implementation-timeline-year-1"/>
    <w:p>
      <w:pPr>
        <w:pStyle w:val="Heading2"/>
      </w:pPr>
      <w:r>
        <w:t xml:space="preserve">Implementation Timeline (Year 1)</w:t>
      </w:r>
    </w:p>
    <w:p>
      <w:pPr>
        <w:pStyle w:val="FirstParagraph"/>
      </w:pPr>
      <w:r>
        <w:rPr>
          <w:bCs/>
          <w:b/>
        </w:rPr>
        <w:t xml:space="preserve">Q1:</w:t>
      </w:r>
      <w:r>
        <w:t xml:space="preserve"> </w:t>
      </w:r>
      <w:r>
        <w:t xml:space="preserve">Finalize Toronto institutional partnerships; launch "Canada Research Funding Guide" digital asset</w:t>
      </w:r>
    </w:p>
    <w:p>
      <w:pPr>
        <w:pStyle w:val="BodyText"/>
      </w:pPr>
      <w:r>
        <w:rPr>
          <w:bCs/>
          <w:b/>
        </w:rPr>
        <w:t xml:space="preserve">Q2:</w:t>
      </w:r>
      <w:r>
        <w:t xml:space="preserve"> </w:t>
      </w:r>
      <w:r>
        <w:t xml:space="preserve">Host first Toronto Research Navigator webinar; secure MaRS Discovery District partnership</w:t>
      </w:r>
    </w:p>
    <w:p>
      <w:pPr>
        <w:pStyle w:val="BodyText"/>
      </w:pPr>
      <w:r>
        <w:rPr>
          <w:bCs/>
          <w:b/>
        </w:rPr>
        <w:t xml:space="preserve">Q3:</w:t>
      </w:r>
      <w:r>
        <w:t xml:space="preserve"> </w:t>
      </w:r>
      <w:r>
        <w:t xml:space="preserve">Deploy physical Toronto support hub; sponsor Ontario Faculty Development Conference</w:t>
      </w:r>
    </w:p>
    <w:p>
      <w:pPr>
        <w:pStyle w:val="BodyText"/>
      </w:pPr>
      <w:r>
        <w:rPr>
          <w:bCs/>
          <w:b/>
        </w:rPr>
        <w:t xml:space="preserve">Q4:</w:t>
      </w:r>
      <w:r>
        <w:t xml:space="preserve"> </w:t>
      </w:r>
      <w:r>
        <w:t xml:space="preserve">Launch annual "Toronto Academic Impact Report" with University of Toronto research office</w:t>
      </w:r>
    </w:p>
    <w:bookmarkEnd w:id="29"/>
    <w:bookmarkStart w:id="30" w:name="measurement-evaluation-framework"/>
    <w:p>
      <w:pPr>
        <w:pStyle w:val="Heading2"/>
      </w:pPr>
      <w:r>
        <w:t xml:space="preserve">Measurement &amp; Evaluation Framework</w:t>
      </w:r>
    </w:p>
    <w:p>
      <w:pPr>
        <w:pStyle w:val="FirstParagraph"/>
      </w:pPr>
      <w:r>
        <w:t xml:space="preserve">We track Canada Toronto-specific success metrics through dual lens:</w:t>
      </w:r>
    </w:p>
    <w:p>
      <w:pPr>
        <w:numPr>
          <w:ilvl w:val="0"/>
          <w:numId w:val="1007"/>
        </w:numPr>
        <w:pStyle w:val="Compact"/>
      </w:pPr>
      <w:r>
        <w:rPr>
          <w:bCs/>
          <w:b/>
        </w:rPr>
        <w:t xml:space="preserve">Quantitative:</w:t>
      </w:r>
      <w:r>
        <w:t xml:space="preserve"> </w:t>
      </w:r>
      <w:r>
        <w:t xml:space="preserve">Lead conversion rate from Toronto institutions (target: 25%); # of Canadian grants secured for clients (target: 120 in Year 1)</w:t>
      </w:r>
    </w:p>
    <w:p>
      <w:pPr>
        <w:numPr>
          <w:ilvl w:val="0"/>
          <w:numId w:val="1007"/>
        </w:numPr>
        <w:pStyle w:val="Compact"/>
      </w:pPr>
      <w:r>
        <w:rPr>
          <w:bCs/>
          <w:b/>
        </w:rPr>
        <w:t xml:space="preserve">Qualitative:</w:t>
      </w:r>
      <w:r>
        <w:t xml:space="preserve"> </w:t>
      </w:r>
      <w:r>
        <w:t xml:space="preserve">Client satisfaction scores on Canada-specific service value (target: 4.7/5); university partnership retention rate</w:t>
      </w:r>
    </w:p>
    <w:p>
      <w:pPr>
        <w:pStyle w:val="FirstParagraph"/>
      </w:pPr>
      <w:r>
        <w:t xml:space="preserve">All metrics will be analyzed through Toronto regional dashboards updated monthly, ensuring real-time adaptation to Canada's evolving academic landscape. We'll benchmark against key Toronto institutions' research performance metrics to continuously refine our academic researcher support model.</w:t>
      </w:r>
    </w:p>
    <w:bookmarkEnd w:id="30"/>
    <w:bookmarkStart w:id="31" w:name="X535ef9a540196de9ffe4946c88e9349989f1de6"/>
    <w:p>
      <w:pPr>
        <w:pStyle w:val="Heading2"/>
      </w:pPr>
      <w:r>
        <w:t xml:space="preserve">Conclusion: Anchoring in Canada Toronto's Research Ecosystem</w:t>
      </w:r>
    </w:p>
    <w:p>
      <w:pPr>
        <w:pStyle w:val="FirstParagraph"/>
      </w:pPr>
      <w:r>
        <w:t xml:space="preserve">This marketing plan establishes a sustainable foundation for becoming the definitive academic researcher support partner in Canada Toronto. By embedding deep understanding of Canadian funding mechanisms and Toronto's unique institutional dynamics, we address unmet needs across the region's research community. The hyper-localized approach ensures every service—whether grant writing, compliance guidance, or publication strategy—delivers immediate value within Canada's academic framework. As Toronto continues to drive Canada's research excellence (accounting for 34% of all Canadian patents), our tailored solutions position us to capture significant market share while elevating the impact of academic researchers across this vital Canadian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Academic Researcher Services for Canada Toronto</dc:title>
  <dc:creator/>
  <dc:language>en</dc:language>
  <cp:keywords/>
  <dcterms:created xsi:type="dcterms:W3CDTF">2025-12-13T01:27:59Z</dcterms:created>
  <dcterms:modified xsi:type="dcterms:W3CDTF">2025-12-13T01:27:59Z</dcterms:modified>
</cp:coreProperties>
</file>

<file path=docProps/custom.xml><?xml version="1.0" encoding="utf-8"?>
<Properties xmlns="http://schemas.openxmlformats.org/officeDocument/2006/custom-properties" xmlns:vt="http://schemas.openxmlformats.org/officeDocument/2006/docPropsVTypes"/>
</file>