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Engagement</w:t>
      </w:r>
      <w:r>
        <w:t xml:space="preserve"> </w:t>
      </w:r>
      <w:r>
        <w:t xml:space="preserve">in</w:t>
      </w:r>
      <w:r>
        <w:t xml:space="preserve"> </w:t>
      </w:r>
      <w:r>
        <w:t xml:space="preserve">China</w:t>
      </w:r>
      <w:r>
        <w:t xml:space="preserve"> </w:t>
      </w:r>
      <w:r>
        <w:t xml:space="preserve">Beijing</w:t>
      </w:r>
    </w:p>
    <w:bookmarkStart w:id="31" w:name="Xd14fe2ea63f513ec8932f0d03de68410823320c"/>
    <w:p>
      <w:pPr>
        <w:pStyle w:val="Heading1"/>
      </w:pPr>
      <w:r>
        <w:t xml:space="preserve">Comprehensive Marketing Plan: Targeting Academic Researchers in Beijing, China</w:t>
      </w:r>
    </w:p>
    <w:bookmarkStart w:id="20" w:name="executive-summary"/>
    <w:p>
      <w:pPr>
        <w:pStyle w:val="Heading2"/>
      </w:pPr>
      <w:r>
        <w:t xml:space="preserve">Executive Summary</w:t>
      </w:r>
    </w:p>
    <w:p>
      <w:pPr>
        <w:pStyle w:val="FirstParagraph"/>
      </w:pPr>
      <w:r>
        <w:t xml:space="preserve">This Marketing Plan outlines a strategic framework designed specifically to engage and support Academic Researchers operating within the dynamic research ecosystem of Beijing, China. As the political, educational, and innovation hub of China with over 70 higher education institutions including Tsinghua University and Peking University, Beijing represents a critical market for academic services. This plan focuses on addressing the unique challenges faced by Academic Researchers in this environment while leveraging opportunities presented by national initiatives like "Double First Class" university development. The proposed strategies will position our organization as an indispensable partner for researchers seeking to enhance their visibility, secure funding, and contribute to China's scientific advancement.</w:t>
      </w:r>
    </w:p>
    <w:bookmarkEnd w:id="20"/>
    <w:bookmarkStart w:id="21" w:name="Xcbfe46dc06960c0fc4d9d6f2c6e010be1f73dc7"/>
    <w:p>
      <w:pPr>
        <w:pStyle w:val="Heading2"/>
      </w:pPr>
      <w:r>
        <w:t xml:space="preserve">Market Analysis: Academic Researcher Landscape in China Beijing</w:t>
      </w:r>
    </w:p>
    <w:p>
      <w:pPr>
        <w:pStyle w:val="FirstParagraph"/>
      </w:pPr>
      <w:r>
        <w:t xml:space="preserve">Beijing serves as the epicenter of China's academic research landscape. According to the National Science Foundation of China (NSFC), Beijing accounts for over 35% of national R&amp;D expenditure, with leading institutions driving innovation in AI, biotechnology, and clean energy. The current Academic Researcher demographic faces significant pressures including intense competition for NSFC grants (with success rates below 20%), publication demands under the "4+1" evaluation system (requiring high-impact journal publications), and increasing expectations for international collaboration. Simultaneously, Beijing's government actively promotes academic-industry integration through initiatives like the Zhongguancun Science Park, creating new opportunities for researchers seeking applied outcomes.</w:t>
      </w:r>
    </w:p>
    <w:bookmarkEnd w:id="21"/>
    <w:bookmarkStart w:id="22" w:name="Xd36decb7fe862bf82e68d3970fdf5b17ff159f5"/>
    <w:p>
      <w:pPr>
        <w:pStyle w:val="Heading2"/>
      </w:pPr>
      <w:r>
        <w:t xml:space="preserve">Target Audience: The Beijing Academic Researcher Profile</w:t>
      </w:r>
    </w:p>
    <w:p>
      <w:pPr>
        <w:pStyle w:val="FirstParagraph"/>
      </w:pPr>
      <w:r>
        <w:t xml:space="preserve">Our core target consists of mid-career Academic Researchers (PhD + 5-15 years experience) affiliated with top-tier Beijing institutions. This group includes:</w:t>
      </w:r>
    </w:p>
    <w:p>
      <w:pPr>
        <w:numPr>
          <w:ilvl w:val="0"/>
          <w:numId w:val="1001"/>
        </w:numPr>
        <w:pStyle w:val="Compact"/>
      </w:pPr>
      <w:r>
        <w:t xml:space="preserve">Postdoctoral fellows transitioning to faculty roles at Peking University or Tsinghua</w:t>
      </w:r>
    </w:p>
    <w:p>
      <w:pPr>
        <w:numPr>
          <w:ilvl w:val="0"/>
          <w:numId w:val="1001"/>
        </w:numPr>
        <w:pStyle w:val="Compact"/>
      </w:pPr>
      <w:r>
        <w:t xml:space="preserve">Associate/Full Professors in STEM fields seeking international partnerships</w:t>
      </w:r>
    </w:p>
    <w:p>
      <w:pPr>
        <w:numPr>
          <w:ilvl w:val="0"/>
          <w:numId w:val="1001"/>
        </w:numPr>
        <w:pStyle w:val="Compact"/>
      </w:pPr>
      <w:r>
        <w:t xml:space="preserve">Research directors managing NSFC-funded projects requiring specialized support</w:t>
      </w:r>
    </w:p>
    <w:p>
      <w:pPr>
        <w:pStyle w:val="FirstParagraph"/>
      </w:pPr>
      <w:r>
        <w:t xml:space="preserve">These Academic Researchers prioritize three key needs: 1) Access to high-impact publication pathways, 2) Funding acquisition expertise, and 3) Strategic networking within China's innovation ecosystem. Crucially, they value relationship-based engagement over transactional interactions—a cultural imperative in Beijing business practices.</w:t>
      </w:r>
    </w:p>
    <w:bookmarkEnd w:id="22"/>
    <w:bookmarkStart w:id="23" w:name="X75301f2f0480a5715d59194afeb7957a6e2fe55"/>
    <w:p>
      <w:pPr>
        <w:pStyle w:val="Heading2"/>
      </w:pPr>
      <w:r>
        <w:t xml:space="preserve">Unique Value Proposition for Beijing Academic Researchers</w:t>
      </w:r>
    </w:p>
    <w:p>
      <w:pPr>
        <w:pStyle w:val="FirstParagraph"/>
      </w:pPr>
      <w:r>
        <w:t xml:space="preserve">We offer a specialized suite of services designed to overcome Beijing-specific challenges:</w:t>
      </w:r>
    </w:p>
    <w:p>
      <w:pPr>
        <w:pStyle w:val="BodyText"/>
      </w:pPr>
      <w:r>
        <w:rPr>
          <w:bCs/>
          <w:b/>
        </w:rPr>
        <w:t xml:space="preserve">NSFC Grant Strategy Workshops:</w:t>
      </w:r>
      <w:r>
        <w:t xml:space="preserve"> </w:t>
      </w:r>
      <w:r>
        <w:t xml:space="preserve">Tailored sessions with former NSFC reviewers focusing on the unique evaluation criteria used by Beijing-based committees.</w:t>
      </w:r>
    </w:p>
    <w:p>
      <w:pPr>
        <w:pStyle w:val="BodyText"/>
      </w:pPr>
      <w:r>
        <w:rPr>
          <w:bCs/>
          <w:b/>
        </w:rPr>
        <w:t xml:space="preserve">Peking University &amp; Tsinghua Collaboration Platform:</w:t>
      </w:r>
      <w:r>
        <w:t xml:space="preserve"> </w:t>
      </w:r>
      <w:r>
        <w:t xml:space="preserve">Dedicated networking events connecting researchers with institutional partners across 17 Beijing universities through our established relationships.</w:t>
      </w:r>
    </w:p>
    <w:p>
      <w:pPr>
        <w:numPr>
          <w:ilvl w:val="0"/>
          <w:numId w:val="1002"/>
        </w:numPr>
        <w:pStyle w:val="Compact"/>
      </w:pPr>
      <w:r>
        <w:t xml:space="preserve">*Example: Quarterly "Beijing Innovation Roundtables" at China International Exhibition Center, featuring NSFC representatives and industry R&amp;D heads.</w:t>
      </w:r>
    </w:p>
    <w:p>
      <w:pPr>
        <w:pStyle w:val="FirstParagraph"/>
      </w:pPr>
      <w:r>
        <w:rPr>
          <w:bCs/>
          <w:b/>
        </w:rPr>
        <w:t xml:space="preserve">High-Impact Publication Accelerator:</w:t>
      </w:r>
      <w:r>
        <w:t xml:space="preserve"> </w:t>
      </w:r>
      <w:r>
        <w:t xml:space="preserve">AI-assisted manuscript editing with Chinese language experts to navigate journal submission preferences for Beijing-based journals like Acta Physica Sinica.</w:t>
      </w:r>
    </w:p>
    <w:bookmarkEnd w:id="23"/>
    <w:bookmarkStart w:id="27" w:name="X7bd91717895d9b5683291d071efb0ec2c2b64be"/>
    <w:p>
      <w:pPr>
        <w:pStyle w:val="Heading2"/>
      </w:pPr>
      <w:r>
        <w:t xml:space="preserve">Marketing Strategies: Beijing-Centric Implementation</w:t>
      </w:r>
    </w:p>
    <w:p>
      <w:pPr>
        <w:pStyle w:val="FirstParagraph"/>
      </w:pPr>
      <w:r>
        <w:t xml:space="preserve">All initiatives will integrate cultural intelligence and local partnerships:</w:t>
      </w:r>
    </w:p>
    <w:bookmarkStart w:id="24" w:name="institutional-partnerships-beijing-focus"/>
    <w:p>
      <w:pPr>
        <w:pStyle w:val="Heading3"/>
      </w:pPr>
      <w:r>
        <w:t xml:space="preserve">1. Institutional Partnerships (Beijing Focus)</w:t>
      </w:r>
    </w:p>
    <w:p>
      <w:pPr>
        <w:pStyle w:val="FirstParagraph"/>
      </w:pPr>
      <w:r>
        <w:t xml:space="preserve">Develop formal Memoranda of Understanding with 5 leading Beijing universities by Q2 2024, including:</w:t>
      </w:r>
    </w:p>
    <w:p>
      <w:pPr>
        <w:numPr>
          <w:ilvl w:val="0"/>
          <w:numId w:val="1003"/>
        </w:numPr>
        <w:pStyle w:val="Compact"/>
      </w:pPr>
      <w:r>
        <w:t xml:space="preserve">Peking University's School of Engineering</w:t>
      </w:r>
    </w:p>
    <w:p>
      <w:pPr>
        <w:numPr>
          <w:ilvl w:val="0"/>
          <w:numId w:val="1003"/>
        </w:numPr>
        <w:pStyle w:val="Compact"/>
      </w:pPr>
      <w:r>
        <w:t xml:space="preserve">Tsinghua University's Innovation Center</w:t>
      </w:r>
    </w:p>
    <w:p>
      <w:pPr>
        <w:numPr>
          <w:ilvl w:val="0"/>
          <w:numId w:val="1003"/>
        </w:numPr>
        <w:pStyle w:val="Compact"/>
      </w:pPr>
      <w:r>
        <w:t xml:space="preserve">Beijing Institute of Technology Research Office</w:t>
      </w:r>
    </w:p>
    <w:bookmarkEnd w:id="24"/>
    <w:bookmarkStart w:id="25" w:name="X8fd94ce39d8a2f53c9899ba9e8fd2cdea5561e5"/>
    <w:p>
      <w:pPr>
        <w:pStyle w:val="Heading3"/>
      </w:pPr>
      <w:r>
        <w:t xml:space="preserve">2. Digital Engagement Platform (Beijing-Optimized)</w:t>
      </w:r>
    </w:p>
    <w:p>
      <w:pPr>
        <w:pStyle w:val="FirstParagraph"/>
      </w:pPr>
      <w:r>
        <w:t xml:space="preserve">Leverage WeChat as the primary channel with:</w:t>
      </w:r>
    </w:p>
    <w:p>
      <w:pPr>
        <w:numPr>
          <w:ilvl w:val="0"/>
          <w:numId w:val="1004"/>
        </w:numPr>
        <w:pStyle w:val="Compact"/>
      </w:pPr>
      <w:r>
        <w:t xml:space="preserve">Dedicated WeChat Mini Program featuring NSFC submission analytics specific to Beijing institutions</w:t>
      </w:r>
    </w:p>
    <w:p>
      <w:pPr>
        <w:numPr>
          <w:ilvl w:val="0"/>
          <w:numId w:val="1004"/>
        </w:numPr>
        <w:pStyle w:val="Compact"/>
      </w:pPr>
      <w:r>
        <w:t xml:space="preserve">Monthly "Researcher Insights" webinars hosted by senior Academic Researchers from Tsinghua</w:t>
      </w:r>
    </w:p>
    <w:bookmarkEnd w:id="25"/>
    <w:bookmarkStart w:id="26" w:name="on-ground-events-in-beijing"/>
    <w:p>
      <w:pPr>
        <w:pStyle w:val="Heading3"/>
      </w:pPr>
      <w:r>
        <w:t xml:space="preserve">3. On-Ground Events in Beijing</w:t>
      </w:r>
    </w:p>
    <w:p>
      <w:pPr>
        <w:pStyle w:val="FirstParagraph"/>
      </w:pPr>
      <w:r>
        <w:t xml:space="preserve">Host 4 signature events annually within Beijing's research corridors:</w:t>
      </w:r>
    </w:p>
    <w:p>
      <w:pPr>
        <w:numPr>
          <w:ilvl w:val="0"/>
          <w:numId w:val="1005"/>
        </w:numPr>
        <w:pStyle w:val="Compact"/>
      </w:pPr>
      <w:r>
        <w:rPr>
          <w:bCs/>
          <w:b/>
        </w:rPr>
        <w:t xml:space="preserve">"Beijing Innovation Summit" (October):</w:t>
      </w:r>
      <w:r>
        <w:t xml:space="preserve"> </w:t>
      </w:r>
      <w:r>
        <w:t xml:space="preserve">At Zhongguancun Forum with NSFC and Ministry of Science and Technology representatives.</w:t>
      </w:r>
    </w:p>
    <w:p>
      <w:pPr>
        <w:numPr>
          <w:ilvl w:val="0"/>
          <w:numId w:val="1005"/>
        </w:numPr>
        <w:pStyle w:val="Compact"/>
      </w:pPr>
      <w:r>
        <w:rPr>
          <w:bCs/>
          <w:b/>
        </w:rPr>
        <w:t xml:space="preserve">Spring Grant Preparation Bootcamp:</w:t>
      </w:r>
      <w:r>
        <w:t xml:space="preserve"> </w:t>
      </w:r>
      <w:r>
        <w:t xml:space="preserve">Partnering with Peking University's Research Administration Office to train 200+ researchers annually.</w:t>
      </w:r>
    </w:p>
    <w:bookmarkEnd w:id="26"/>
    <w:bookmarkEnd w:id="27"/>
    <w:bookmarkStart w:id="28" w:name="budget-allocation-kpis"/>
    <w:p>
      <w:pPr>
        <w:pStyle w:val="Heading2"/>
      </w:pPr>
      <w:r>
        <w:t xml:space="preserve">Budget Allocation &amp; KPIs</w:t>
      </w:r>
    </w:p>
    <w:p>
      <w:pPr>
        <w:pStyle w:val="FirstParagraph"/>
      </w:pPr>
      <w:r>
        <w:t xml:space="preserve">Our $350,000 annual investment prioritizes Beijing-specific tactics:</w:t>
      </w:r>
    </w:p>
    <w:p>
      <w:pPr>
        <w:pStyle w:val="BodyText"/>
      </w:pPr>
      <w:r>
        <w:t xml:space="preserve">Initiative</w:t>
      </w:r>
    </w:p>
    <w:p>
      <w:pPr>
        <w:pStyle w:val="BodyText"/>
      </w:pPr>
      <w:r>
        <w:t xml:space="preserve">Allocation</w:t>
      </w:r>
    </w:p>
    <w:p>
      <w:pPr>
        <w:pStyle w:val="BodyText"/>
      </w:pPr>
      <w:r>
        <w:t xml:space="preserve">KPI Target (Year 1)</w:t>
      </w:r>
    </w:p>
    <w:p>
      <w:pPr>
        <w:pStyle w:val="BodyText"/>
      </w:pPr>
      <w:r>
        <w:t xml:space="preserve">Institutional Partnerships (5 Universities)</w:t>
      </w:r>
    </w:p>
    <w:p>
      <w:pPr>
        <w:pStyle w:val="BodyText"/>
      </w:pPr>
      <w:r>
        <w:t xml:space="preserve">$120,000</w:t>
      </w:r>
    </w:p>
    <w:p>
      <w:pPr>
        <w:pStyle w:val="BodyText"/>
      </w:pPr>
      <w:r>
        <w:t xml:space="preserve">3 formal MOUs; 45% researcher referral rate</w:t>
      </w:r>
    </w:p>
    <w:p>
      <w:pPr>
        <w:pStyle w:val="BodyText"/>
      </w:pPr>
      <w:r>
        <w:t xml:space="preserve">WeChat Platform Development &amp; Content</w:t>
      </w:r>
    </w:p>
    <w:p>
      <w:pPr>
        <w:pStyle w:val="BodyText"/>
      </w:pPr>
      <w:r>
        <w:t xml:space="preserve">$90,000</w:t>
      </w:r>
    </w:p>
    <w:p>
      <w:pPr>
        <w:pStyle w:val="BodyText"/>
      </w:pPr>
      <w:r>
        <w:t xml:space="preserve">15,000 active users; 25% conversion to paid services</w:t>
      </w:r>
    </w:p>
    <w:p>
      <w:pPr>
        <w:pStyle w:val="BodyText"/>
      </w:pPr>
      <w:r>
        <w:t xml:space="preserve">Beijing Events (4 Annual)</w:t>
      </w:r>
    </w:p>
    <w:p>
      <w:pPr>
        <w:pStyle w:val="BodyText"/>
      </w:pPr>
      <w:r>
        <w:t xml:space="preserve">$140,000</w:t>
      </w:r>
    </w:p>
    <w:p>
      <w:pPr>
        <w:pStyle w:val="BodyText"/>
      </w:pPr>
      <w:r>
        <w:t xml:space="preserve">65% attendance from target Academic Researchers; 32 new client acquisitions</w:t>
      </w:r>
    </w:p>
    <w:bookmarkEnd w:id="28"/>
    <w:bookmarkStart w:id="29" w:name="Xce7b2a62bbd691924400eef56e9f40359d9b26a"/>
    <w:p>
      <w:pPr>
        <w:pStyle w:val="Heading2"/>
      </w:pPr>
      <w:r>
        <w:t xml:space="preserve">Competitive Differentiation in China Beijing Context</w:t>
      </w:r>
    </w:p>
    <w:p>
      <w:pPr>
        <w:pStyle w:val="FirstParagraph"/>
      </w:pPr>
      <w:r>
        <w:t xml:space="preserve">While global academic support platforms exist, our Beijing-specific differentiation includes:</w:t>
      </w:r>
    </w:p>
    <w:p>
      <w:pPr>
        <w:numPr>
          <w:ilvl w:val="0"/>
          <w:numId w:val="1006"/>
        </w:numPr>
        <w:pStyle w:val="Compact"/>
      </w:pPr>
      <w:r>
        <w:rPr>
          <w:bCs/>
          <w:b/>
        </w:rPr>
        <w:t xml:space="preserve">Cultural Intelligence:</w:t>
      </w:r>
      <w:r>
        <w:t xml:space="preserve"> </w:t>
      </w:r>
      <w:r>
        <w:t xml:space="preserve">All content developed with input from Chinese Academic Researchers (not just translated materials)</w:t>
      </w:r>
    </w:p>
    <w:p>
      <w:pPr>
        <w:numPr>
          <w:ilvl w:val="0"/>
          <w:numId w:val="1006"/>
        </w:numPr>
        <w:pStyle w:val="Compact"/>
      </w:pPr>
      <w:r>
        <w:rPr>
          <w:bCs/>
          <w:b/>
        </w:rPr>
        <w:t xml:space="preserve">Local Regulatory Navigation:</w:t>
      </w:r>
      <w:r>
        <w:t xml:space="preserve"> </w:t>
      </w:r>
      <w:r>
        <w:t xml:space="preserve">Expertise in China's recent "Research Ethics Guidelines" amendments affecting Beijing-based projects</w:t>
      </w:r>
    </w:p>
    <w:p>
      <w:pPr>
        <w:numPr>
          <w:ilvl w:val="0"/>
          <w:numId w:val="1006"/>
        </w:numPr>
        <w:pStyle w:val="Compact"/>
      </w:pPr>
      <w:r>
        <w:rPr>
          <w:bCs/>
          <w:b/>
        </w:rPr>
        <w:t xml:space="preserve">Institutional Access:</w:t>
      </w:r>
      <w:r>
        <w:t xml:space="preserve"> </w:t>
      </w:r>
      <w:r>
        <w:t xml:space="preserve">Direct channels to 17 Beijing universities' research offices that global competitors cannot replicate</w:t>
      </w:r>
    </w:p>
    <w:bookmarkEnd w:id="29"/>
    <w:bookmarkStart w:id="30" w:name="X345e158475419597522b109a98a71d2ed287681"/>
    <w:p>
      <w:pPr>
        <w:pStyle w:val="Heading2"/>
      </w:pPr>
      <w:r>
        <w:t xml:space="preserve">Conclusion: Strategic Imperative for Academic Researcher Engagement in China's Capital</w:t>
      </w:r>
    </w:p>
    <w:p>
      <w:pPr>
        <w:pStyle w:val="FirstParagraph"/>
      </w:pPr>
      <w:r>
        <w:t xml:space="preserve">This Marketing Plan represents a focused investment in Beijing's academic community, where the stakes for Academic Researchers are highest. By embedding our services within Beijing's unique research ecosystem—addressing NSFC complexities, leveraging Zhongguancun innovation networks, and respecting Chinese academic culture—we position ourselves not just as service providers but as strategic partners in China's scientific advancement. The proposed strategies directly respond to the critical needs of Academic Researchers navigating Beijing's competitive landscape, creating measurable value through enhanced grant success rates, publication impact, and institutional collaboration. This plan establishes a sustainable pathway for our organization to become the preferred partner for Academic Researchers seeking excellence within China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Engagement in China Beijing</dc:title>
  <dc:creator/>
  <dc:language>en</dc:language>
  <cp:keywords/>
  <dcterms:created xsi:type="dcterms:W3CDTF">2026-06-02T12:08:50Z</dcterms:created>
  <dcterms:modified xsi:type="dcterms:W3CDTF">2026-06-02T12:08:50Z</dcterms:modified>
</cp:coreProperties>
</file>

<file path=docProps/custom.xml><?xml version="1.0" encoding="utf-8"?>
<Properties xmlns="http://schemas.openxmlformats.org/officeDocument/2006/custom-properties" xmlns:vt="http://schemas.openxmlformats.org/officeDocument/2006/docPropsVTypes"/>
</file>