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2" w:name="X8e73acfb2334a4afec1ff7c71c8fcef61a52b1f"/>
    <w:p>
      <w:pPr>
        <w:pStyle w:val="Heading1"/>
      </w:pPr>
      <w:r>
        <w:t xml:space="preserve">Comprehensive Marketing Plan Targeting Academic Researchers in China Guangzhou</w:t>
      </w:r>
    </w:p>
    <w:bookmarkStart w:id="20" w:name="executive-summary"/>
    <w:p>
      <w:pPr>
        <w:pStyle w:val="Heading2"/>
      </w:pPr>
      <w:r>
        <w:t xml:space="preserve">Executive Summary</w:t>
      </w:r>
    </w:p>
    <w:p>
      <w:pPr>
        <w:pStyle w:val="FirstParagraph"/>
      </w:pPr>
      <w:r>
        <w:t xml:space="preserve">This Marketing Plan outlines a strategic initiative to establish and grow a specialized research collaboration platform for academic researchers across China Guangzhou. As Guangzhou emerges as a pivotal hub for scientific innovation in southern China, this plan capitalizes on the city's rapidly expanding academic ecosystem. The core objective is to position our digital platform as the indispensable resource for Academic Researchers navigating funding landscapes, interdisciplinary collaboration, and publication opportunities within China Guangzhou. With over 15 major universities and 40 research institutes concentrated in Guangzhou—including Sun Yat-sen University, South China University of Technology, and the Chinese Academy of Sciences' Guangzhou branches—we present a targeted opportunity to serve 25,000+ active researchers.</w:t>
      </w:r>
    </w:p>
    <w:bookmarkEnd w:id="20"/>
    <w:bookmarkStart w:id="21" w:name="X74cf49b049186887b11133ded8d2430b4112be6"/>
    <w:p>
      <w:pPr>
        <w:pStyle w:val="Heading2"/>
      </w:pPr>
      <w:r>
        <w:t xml:space="preserve">Market Analysis: The Guangzhou Academic Landscape</w:t>
      </w:r>
    </w:p>
    <w:p>
      <w:pPr>
        <w:pStyle w:val="FirstParagraph"/>
      </w:pPr>
      <w:r>
        <w:t xml:space="preserve">China Guangzhou's research sector is experiencing unprecedented growth, driven by the provincial government's "Guangdong-Hong Kong-Macao Greater Bay Area" initiative. This strategic economic zone has allocated $18 billion for research infrastructure since 2020, directly benefiting Guangzhou's academic community. However, Academic Researchers face significant challenges: fragmented funding access (only 37% secure competitive grants), limited cross-institutional collaboration (68% work in siloed departments), and language barriers in international publishing. Our analysis reveals a critical gap—no localized platform effectively bridges these challenges for Guangzhou-based researchers. Competitors like ResearchGate operate globally but lack China-specific features such as integration with Chinese National Natural Science Foundation (NSFC) portals or WeChat-based collaboration tools.</w:t>
      </w:r>
    </w:p>
    <w:bookmarkEnd w:id="21"/>
    <w:bookmarkStart w:id="22" w:name="X9e63601c40d773ae0b2988f8c542e0633179147"/>
    <w:p>
      <w:pPr>
        <w:pStyle w:val="Heading2"/>
      </w:pPr>
      <w:r>
        <w:t xml:space="preserve">Target Audience: Academic Researchers in Guangzhou</w:t>
      </w:r>
    </w:p>
    <w:p>
      <w:pPr>
        <w:pStyle w:val="FirstParagraph"/>
      </w:pPr>
      <w:r>
        <w:t xml:space="preserve">We focus on three high-value segments of Academic Researchers within China Guangzhou:</w:t>
      </w:r>
    </w:p>
    <w:p>
      <w:pPr>
        <w:numPr>
          <w:ilvl w:val="0"/>
          <w:numId w:val="1001"/>
        </w:numPr>
        <w:pStyle w:val="Compact"/>
      </w:pPr>
      <w:r>
        <w:rPr>
          <w:bCs/>
          <w:b/>
        </w:rPr>
        <w:t xml:space="preserve">Early-Career Researchers (45% of target):</w:t>
      </w:r>
      <w:r>
        <w:t xml:space="preserve"> </w:t>
      </w:r>
      <w:r>
        <w:t xml:space="preserve">Postdocs and assistant professors at institutions like Jinan University, seeking grant support and networking to advance careers.</w:t>
      </w:r>
    </w:p>
    <w:p>
      <w:pPr>
        <w:numPr>
          <w:ilvl w:val="0"/>
          <w:numId w:val="1001"/>
        </w:numPr>
        <w:pStyle w:val="Compact"/>
      </w:pPr>
      <w:r>
        <w:rPr>
          <w:bCs/>
          <w:b/>
        </w:rPr>
        <w:t xml:space="preserve">Principal Investigators (35%):</w:t>
      </w:r>
      <w:r>
        <w:t xml:space="preserve"> </w:t>
      </w:r>
      <w:r>
        <w:t xml:space="preserve">Leading researchers at Guangzhou's top institutes managing multi-million-yuan projects who need collaboration tools for NSFC compliance.</w:t>
      </w:r>
    </w:p>
    <w:p>
      <w:pPr>
        <w:numPr>
          <w:ilvl w:val="0"/>
          <w:numId w:val="1001"/>
        </w:numPr>
        <w:pStyle w:val="Compact"/>
      </w:pPr>
      <w:r>
        <w:rPr>
          <w:bCs/>
          <w:b/>
        </w:rPr>
        <w:t xml:space="preserve">Industry-Academia Collaborators (20%):</w:t>
      </w:r>
      <w:r>
        <w:t xml:space="preserve"> </w:t>
      </w:r>
      <w:r>
        <w:t xml:space="preserve">Researchers at Shenzhen-Guangzhou tech hubs (e.g., Huawei Research Institute) requiring seamless industry partnership features.</w:t>
      </w:r>
    </w:p>
    <w:p>
      <w:pPr>
        <w:pStyle w:val="FirstParagraph"/>
      </w:pPr>
      <w:r>
        <w:t xml:space="preserve">These researchers share common needs: overcoming bureaucratic hurdles in China's research funding systems, accessing Guangdong-specific grants, and navigating bilingual academic publishing. They are highly active on WeChat (used by 92% for professional communication) but underserved by Western-dominated platforms.</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85% recognition among Guangzhou academic researchers within 18 months through localized channels.</w:t>
      </w:r>
    </w:p>
    <w:p>
      <w:pPr>
        <w:numPr>
          <w:ilvl w:val="0"/>
          <w:numId w:val="1002"/>
        </w:numPr>
        <w:pStyle w:val="Compact"/>
      </w:pPr>
      <w:r>
        <w:rPr>
          <w:bCs/>
          <w:b/>
        </w:rPr>
        <w:t xml:space="preserve">User Acquisition:</w:t>
      </w:r>
      <w:r>
        <w:t xml:space="preserve"> </w:t>
      </w:r>
      <w:r>
        <w:t xml:space="preserve">Onboard 10,000 active Academic Researchers in China Guangzhou by Year 2, focusing on Tier-1 universities.</w:t>
      </w:r>
    </w:p>
    <w:p>
      <w:pPr>
        <w:numPr>
          <w:ilvl w:val="0"/>
          <w:numId w:val="1002"/>
        </w:numPr>
        <w:pStyle w:val="Compact"/>
      </w:pPr>
      <w:r>
        <w:rPr>
          <w:bCs/>
          <w:b/>
        </w:rPr>
        <w:t xml:space="preserve">Engagement Metrics:</w:t>
      </w:r>
      <w:r>
        <w:t xml:space="preserve"> </w:t>
      </w:r>
      <w:r>
        <w:t xml:space="preserve">Achieve 45% monthly platform usage rate and 3.5+ average session duration via culturally tailored features.</w:t>
      </w:r>
    </w:p>
    <w:p>
      <w:pPr>
        <w:numPr>
          <w:ilvl w:val="0"/>
          <w:numId w:val="1002"/>
        </w:numPr>
        <w:pStyle w:val="Compact"/>
      </w:pPr>
      <w:r>
        <w:rPr>
          <w:bCs/>
          <w:b/>
        </w:rPr>
        <w:t xml:space="preserve">Partnership Goals:</w:t>
      </w:r>
      <w:r>
        <w:t xml:space="preserve"> </w:t>
      </w:r>
      <w:r>
        <w:t xml:space="preserve">Secure formal agreements with 8 Guangzhou-based research institutions for exclusive access by Q3 Year 1.</w:t>
      </w:r>
    </w:p>
    <w:bookmarkEnd w:id="23"/>
    <w:bookmarkStart w:id="27" w:name="strategic-marketing-tactics"/>
    <w:p>
      <w:pPr>
        <w:pStyle w:val="Heading2"/>
      </w:pPr>
      <w:r>
        <w:t xml:space="preserve">Strategic Marketing Tactics</w:t>
      </w:r>
    </w:p>
    <w:p>
      <w:pPr>
        <w:pStyle w:val="FirstParagraph"/>
      </w:pPr>
      <w:r>
        <w:t xml:space="preserve">Our strategy employs a China-first, Guangzhou-centric approach:</w:t>
      </w:r>
    </w:p>
    <w:bookmarkStart w:id="24" w:name="localized-platform-development"/>
    <w:p>
      <w:pPr>
        <w:pStyle w:val="Heading3"/>
      </w:pPr>
      <w:r>
        <w:t xml:space="preserve">Localized Platform Development</w:t>
      </w:r>
    </w:p>
    <w:p>
      <w:pPr>
        <w:pStyle w:val="FirstParagraph"/>
      </w:pPr>
      <w:r>
        <w:t xml:space="preserve">We will develop a bilingual (Chinese/English) platform with features specifically for Academic Researchers in China Guangzhou:</w:t>
      </w:r>
    </w:p>
    <w:p>
      <w:pPr>
        <w:numPr>
          <w:ilvl w:val="0"/>
          <w:numId w:val="1003"/>
        </w:numPr>
        <w:pStyle w:val="Compact"/>
      </w:pPr>
      <w:r>
        <w:t xml:space="preserve">NSFC Grant Navigator: AI tool mapping project proposals to Guangzhou-specific funding opportunities.</w:t>
      </w:r>
    </w:p>
    <w:p>
      <w:pPr>
        <w:numPr>
          <w:ilvl w:val="0"/>
          <w:numId w:val="1003"/>
        </w:numPr>
        <w:pStyle w:val="Compact"/>
      </w:pPr>
      <w:r>
        <w:t xml:space="preserve">Guangzhou Research Network: Geo-fenced collaboration hub for institutions within 50km of Guangzhou CBD.</w:t>
      </w:r>
    </w:p>
    <w:p>
      <w:pPr>
        <w:numPr>
          <w:ilvl w:val="0"/>
          <w:numId w:val="1003"/>
        </w:numPr>
        <w:pStyle w:val="Compact"/>
      </w:pPr>
      <w:r>
        <w:t xml:space="preserve">WeChat Mini-Program Integration: Direct access via China's dominant social platform (no app downloads needed).</w:t>
      </w:r>
    </w:p>
    <w:bookmarkEnd w:id="24"/>
    <w:bookmarkStart w:id="25" w:name="guangzhou-community-activation"/>
    <w:p>
      <w:pPr>
        <w:pStyle w:val="Heading3"/>
      </w:pPr>
      <w:r>
        <w:t xml:space="preserve">Guangzhou Community Activation</w:t>
      </w:r>
    </w:p>
    <w:p>
      <w:pPr>
        <w:pStyle w:val="FirstParagraph"/>
      </w:pPr>
      <w:r>
        <w:t xml:space="preserve">Deep engagement through hyperlocal channels:</w:t>
      </w:r>
    </w:p>
    <w:p>
      <w:pPr>
        <w:numPr>
          <w:ilvl w:val="0"/>
          <w:numId w:val="1004"/>
        </w:numPr>
        <w:pStyle w:val="Compact"/>
      </w:pPr>
      <w:r>
        <w:rPr>
          <w:bCs/>
          <w:b/>
        </w:rPr>
        <w:t xml:space="preserve">University Partnerships:</w:t>
      </w:r>
      <w:r>
        <w:t xml:space="preserve"> </w:t>
      </w:r>
      <w:r>
        <w:t xml:space="preserve">Co-host "Research Innovation Summits" at Sun Yat-sen University and SCUT, featuring Guangzhou research leaders.</w:t>
      </w:r>
    </w:p>
    <w:p>
      <w:pPr>
        <w:numPr>
          <w:ilvl w:val="0"/>
          <w:numId w:val="1004"/>
        </w:numPr>
        <w:pStyle w:val="Compact"/>
      </w:pPr>
      <w:r>
        <w:rPr>
          <w:bCs/>
          <w:b/>
        </w:rPr>
        <w:t xml:space="preserve">WeChat KOL Campaigns:</w:t>
      </w:r>
      <w:r>
        <w:t xml:space="preserve"> </w:t>
      </w:r>
      <w:r>
        <w:t xml:space="preserve">Collaborate with 20+ prominent Academic Researchers in China Guangzhou for authentic platform testimonials (e.g., Dr. Li Wei from CAS Guangzhou on AI funding success).</w:t>
      </w:r>
    </w:p>
    <w:p>
      <w:pPr>
        <w:numPr>
          <w:ilvl w:val="0"/>
          <w:numId w:val="1004"/>
        </w:numPr>
        <w:pStyle w:val="Compact"/>
      </w:pPr>
      <w:r>
        <w:rPr>
          <w:bCs/>
          <w:b/>
        </w:rPr>
        <w:t xml:space="preserve">Government Alignment:</w:t>
      </w:r>
      <w:r>
        <w:t xml:space="preserve"> </w:t>
      </w:r>
      <w:r>
        <w:t xml:space="preserve">Participate in Guangdong Provincial Science and Technology Department's "Innovation Week" to demonstrate compliance with national research policies.</w:t>
      </w:r>
    </w:p>
    <w:bookmarkEnd w:id="25"/>
    <w:bookmarkStart w:id="26" w:name="cultural-adaptation"/>
    <w:p>
      <w:pPr>
        <w:pStyle w:val="Heading3"/>
      </w:pPr>
      <w:r>
        <w:t xml:space="preserve">Cultural Adaptation</w:t>
      </w:r>
    </w:p>
    <w:p>
      <w:pPr>
        <w:pStyle w:val="FirstParagraph"/>
      </w:pPr>
      <w:r>
        <w:t xml:space="preserve">We reject one-size-fits-all marketing: All content will use Guangzhou-specific case studies (e.g., "How Shenzhen-Guangzhou Biotech Cluster Secured $12M in NSFC Funding") and incorporate local academic customs like "guanxi" (relationship-building) through virtual networking events hosted by Guangdong-based researchers.</w:t>
      </w:r>
    </w:p>
    <w:bookmarkEnd w:id="26"/>
    <w:bookmarkEnd w:id="27"/>
    <w:bookmarkStart w:id="28" w:name="implementation-timeline"/>
    <w:p>
      <w:pPr>
        <w:pStyle w:val="Heading2"/>
      </w:pPr>
      <w:r>
        <w:t xml:space="preserve">Implementation Timeline</w:t>
      </w:r>
    </w:p>
    <w:p>
      <w:pPr>
        <w:pStyle w:val="FirstParagraph"/>
      </w:pPr>
      <w:r>
        <w:t xml:space="preserve">Quarter</w:t>
      </w:r>
    </w:p>
    <w:bookmarkEnd w:id="28"/>
    <w:p>
      <w:pPr>
        <w:pStyle w:val="BodyText"/>
      </w:pPr>
      <w:r>
        <w:t xml:space="preserve">Key Actions for China Guangzhou Focus</w:t>
      </w:r>
    </w:p>
    <w:p>
      <w:pPr>
        <w:pStyle w:val="BodyText"/>
      </w:pPr>
      <w:r>
        <w:t xml:space="preserve">Q1 Year 1</w:t>
      </w:r>
    </w:p>
    <w:p>
      <w:pPr>
        <w:pStyle w:val="BodyText"/>
      </w:pPr>
      <w:r>
        <w:t xml:space="preserve">Platform localization: Integrate with Guangdong Science Foundation portal; recruit 50+ Academic Researchers from Guangzhou institutions as beta testers.</w:t>
      </w:r>
    </w:p>
    <w:p>
      <w:pPr>
        <w:pStyle w:val="BodyText"/>
      </w:pPr>
      <w:r>
        <w:t xml:space="preserve">Q2 Year 1</w:t>
      </w:r>
    </w:p>
    <w:p>
      <w:pPr>
        <w:pStyle w:val="BodyText"/>
      </w:pPr>
      <w:r>
        <w:t xml:space="preserve">Campaign launch: WeChat mini-program debut during Guangzhou International Research Week; first campus workshops at SCUT and Sun Yat-sen University.</w:t>
      </w:r>
    </w:p>
    <w:p>
      <w:pPr>
        <w:pStyle w:val="BodyText"/>
      </w:pPr>
      <w:r>
        <w:t xml:space="preserve">Q3 Year 1</w:t>
      </w:r>
    </w:p>
    <w:p>
      <w:pPr>
        <w:pStyle w:val="BodyText"/>
      </w:pPr>
      <w:r>
        <w:t xml:space="preserve">Partner with Guangdong Provincial Government for "Researcher Success" webinar series featuring top Academic Researchers from Guangzhou.</w:t>
      </w:r>
    </w:p>
    <w:p>
      <w:pPr>
        <w:pStyle w:val="BodyText"/>
      </w:pPr>
      <w:r>
        <w:t xml:space="preserve">Q4 Year 1</w:t>
      </w:r>
    </w:p>
    <w:p>
      <w:pPr>
        <w:pStyle w:val="BodyText"/>
      </w:pPr>
      <w:r>
        <w:t xml:space="preserve">Launch NSFC Grant Navigator v2.0 based on Guangzhou user feedback; target 3,000 registered users in China Guangzhou.</w:t>
      </w:r>
    </w:p>
    <w:bookmarkStart w:id="29" w:name="budget-allocation-total-485000"/>
    <w:p>
      <w:pPr>
        <w:pStyle w:val="Heading2"/>
      </w:pPr>
      <w:r>
        <w:t xml:space="preserve">Budget Allocation (Total: $485,000)</w:t>
      </w:r>
    </w:p>
    <w:p>
      <w:pPr>
        <w:pStyle w:val="FirstParagraph"/>
      </w:pPr>
      <w:r>
        <w:t xml:space="preserve">Optimized for maximum impact in China Guangzhou:</w:t>
      </w:r>
    </w:p>
    <w:p>
      <w:pPr>
        <w:numPr>
          <w:ilvl w:val="0"/>
          <w:numId w:val="1005"/>
        </w:numPr>
        <w:pStyle w:val="Compact"/>
      </w:pPr>
      <w:r>
        <w:rPr>
          <w:bCs/>
          <w:b/>
        </w:rPr>
        <w:t xml:space="preserve">Platform Development (45%):</w:t>
      </w:r>
      <w:r>
        <w:t xml:space="preserve"> </w:t>
      </w:r>
      <w:r>
        <w:t xml:space="preserve">$218,250 – Focused on NSFC integration and WeChat mini-program development.</w:t>
      </w:r>
    </w:p>
    <w:p>
      <w:pPr>
        <w:numPr>
          <w:ilvl w:val="0"/>
          <w:numId w:val="1005"/>
        </w:numPr>
        <w:pStyle w:val="Compact"/>
      </w:pPr>
      <w:r>
        <w:rPr>
          <w:bCs/>
          <w:b/>
        </w:rPr>
        <w:t xml:space="preserve">Guangzhou Community Events (30%):</w:t>
      </w:r>
      <w:r>
        <w:t xml:space="preserve"> </w:t>
      </w:r>
      <w:r>
        <w:t xml:space="preserve">$145,500 – Includes venue rentals at Guangzhou research hubs and speaker fees for local Academic Researchers.</w:t>
      </w:r>
    </w:p>
    <w:p>
      <w:pPr>
        <w:numPr>
          <w:ilvl w:val="0"/>
          <w:numId w:val="1005"/>
        </w:numPr>
        <w:pStyle w:val="Compact"/>
      </w:pPr>
      <w:r>
        <w:rPr>
          <w:bCs/>
          <w:b/>
        </w:rPr>
        <w:t xml:space="preserve">Digital Marketing (15%):</w:t>
      </w:r>
      <w:r>
        <w:t xml:space="preserve"> </w:t>
      </w:r>
      <w:r>
        <w:t xml:space="preserve">$72,750 – Targeted WeChat ads and KOL collaborations with Guangzhou-based researchers.</w:t>
      </w:r>
    </w:p>
    <w:p>
      <w:pPr>
        <w:numPr>
          <w:ilvl w:val="0"/>
          <w:numId w:val="1005"/>
        </w:numPr>
        <w:pStyle w:val="Compact"/>
      </w:pPr>
      <w:r>
        <w:rPr>
          <w:bCs/>
          <w:b/>
        </w:rPr>
        <w:t xml:space="preserve">Partnership Development (10%):</w:t>
      </w:r>
      <w:r>
        <w:t xml:space="preserve"> </w:t>
      </w:r>
      <w:r>
        <w:t xml:space="preserve">$48,500 – Government liaison and university contract negotiations.</w:t>
      </w:r>
    </w:p>
    <w:bookmarkEnd w:id="29"/>
    <w:bookmarkStart w:id="30" w:name="evaluation-framework"/>
    <w:p>
      <w:pPr>
        <w:pStyle w:val="Heading2"/>
      </w:pPr>
      <w:r>
        <w:t xml:space="preserve">Evaluation Framework</w:t>
      </w:r>
    </w:p>
    <w:p>
      <w:pPr>
        <w:pStyle w:val="FirstParagraph"/>
      </w:pPr>
      <w:r>
        <w:t xml:space="preserve">We measure success through Guangzhou-specific KPIs:</w:t>
      </w:r>
    </w:p>
    <w:p>
      <w:pPr>
        <w:numPr>
          <w:ilvl w:val="0"/>
          <w:numId w:val="1006"/>
        </w:numPr>
        <w:pStyle w:val="Compact"/>
      </w:pPr>
      <w:r>
        <w:rPr>
          <w:bCs/>
          <w:b/>
        </w:rPr>
        <w:t xml:space="preserve">Local Engagement Score:</w:t>
      </w:r>
      <w:r>
        <w:t xml:space="preserve"> </w:t>
      </w:r>
      <w:r>
        <w:t xml:space="preserve">% of active users from Guangzhou (target: 75% by Year 2).</w:t>
      </w:r>
    </w:p>
    <w:p>
      <w:pPr>
        <w:numPr>
          <w:ilvl w:val="0"/>
          <w:numId w:val="1006"/>
        </w:numPr>
        <w:pStyle w:val="Compact"/>
      </w:pPr>
      <w:r>
        <w:rPr>
          <w:bCs/>
          <w:b/>
        </w:rPr>
        <w:t xml:space="preserve">NSFC Grant Conversion Rate:</w:t>
      </w:r>
      <w:r>
        <w:t xml:space="preserve"> </w:t>
      </w:r>
      <w:r>
        <w:t xml:space="preserve">% of users securing funding via platform tools (target: 28% in Year 1).</w:t>
      </w:r>
    </w:p>
    <w:p>
      <w:pPr>
        <w:numPr>
          <w:ilvl w:val="0"/>
          <w:numId w:val="1006"/>
        </w:numPr>
        <w:pStyle w:val="Compact"/>
      </w:pPr>
      <w:r>
        <w:rPr>
          <w:bCs/>
          <w:b/>
        </w:rPr>
        <w:t xml:space="preserve">Institutional Adoption Rate:</w:t>
      </w:r>
      <w:r>
        <w:t xml:space="preserve"> </w:t>
      </w:r>
      <w:r>
        <w:t xml:space="preserve">Number of Guangzhou universities embedding platform into research workflows (target: 6 institutions by Year 1).</w:t>
      </w:r>
    </w:p>
    <w:p>
      <w:pPr>
        <w:pStyle w:val="FirstParagraph"/>
      </w:pPr>
      <w:r>
        <w:t xml:space="preserve">Monthly reviews will include feedback sessions with Academic Researchers from China Guangzhou to ensure continuous cultural alignment.</w:t>
      </w:r>
    </w:p>
    <w:bookmarkEnd w:id="30"/>
    <w:bookmarkStart w:id="31" w:name="X01f8921cce22127000b13efd3883ed7e72df5aa"/>
    <w:p>
      <w:pPr>
        <w:pStyle w:val="Heading2"/>
      </w:pPr>
      <w:r>
        <w:t xml:space="preserve">Conclusion: Why This Marketing Plan Wins in Guangzhou</w:t>
      </w:r>
    </w:p>
    <w:p>
      <w:pPr>
        <w:pStyle w:val="FirstParagraph"/>
      </w:pPr>
      <w:r>
        <w:t xml:space="preserve">This Marketing Plan is not merely a generic strategy—it’s a deeply rooted initiative for Academic Researchers operating within China Guangzhou's unique ecosystem. By embedding our platform into the fabric of Guangzhou's research culture through WeChat integration, government partnerships, and localized content, we transcend typical marketing approaches. We recognize that in China Guangzhou’s academic landscape, success hinges on understanding local funding mechanisms (NSFC), leveraging geo-social networks (WeChat), and respecting regional research priorities. This plan doesn’t just market a service—it becomes the operational backbone for Academic Researchers accelerating their impact within China's most dynamic research hub. As Guangzhou positions itself as Asia's next Silicon Valley, our platform will be the indispensable catalyst for its academic community.</w:t>
      </w:r>
    </w:p>
    <w:bookmarkEnd w:id="31"/>
    <w:p>
      <w:pPr>
        <w:pStyle w:val="BodyText"/>
      </w:pPr>
      <w:r>
        <w:rPr>
          <w:bCs/>
          <w:b/>
        </w:rPr>
        <w:t xml:space="preserve">Marketing Plan Document: Academic Researcher Focus in China Guangzhou</w:t>
      </w:r>
      <w:r>
        <w:t xml:space="preserve"> </w:t>
      </w:r>
      <w:r>
        <w:t xml:space="preserve">| Generated: October 2023 | Word Count: 897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China Guangzhou</dc:title>
  <dc:creator/>
  <dc:language>en</dc:language>
  <cp:keywords/>
  <dcterms:created xsi:type="dcterms:W3CDTF">2026-07-24T16:48:49Z</dcterms:created>
  <dcterms:modified xsi:type="dcterms:W3CDTF">2026-07-24T16:48:49Z</dcterms:modified>
</cp:coreProperties>
</file>

<file path=docProps/custom.xml><?xml version="1.0" encoding="utf-8"?>
<Properties xmlns="http://schemas.openxmlformats.org/officeDocument/2006/custom-properties" xmlns:vt="http://schemas.openxmlformats.org/officeDocument/2006/docPropsVTypes"/>
</file>