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China</w:t>
      </w:r>
      <w:r>
        <w:t xml:space="preserve"> </w:t>
      </w:r>
      <w:r>
        <w:t xml:space="preserve">Shanghai</w:t>
      </w:r>
    </w:p>
    <w:bookmarkStart w:id="32" w:name="X20075774ca49f56f5f1ac6f36bd7a14de90dca9"/>
    <w:p>
      <w:pPr>
        <w:pStyle w:val="Heading1"/>
      </w:pPr>
      <w:r>
        <w:t xml:space="preserve">Comprehensive Marketing Plan Targeting Academic Researchers in China Shanghai</w:t>
      </w:r>
    </w:p>
    <w:bookmarkStart w:id="20" w:name="executive-summary"/>
    <w:p>
      <w:pPr>
        <w:pStyle w:val="Heading2"/>
      </w:pPr>
      <w:r>
        <w:t xml:space="preserve">Executive Summary</w:t>
      </w:r>
    </w:p>
    <w:p>
      <w:pPr>
        <w:pStyle w:val="FirstParagraph"/>
      </w:pPr>
      <w:r>
        <w:t xml:space="preserve">This Marketing Plan outlines a strategic approach to establish market leadership for research support services targeting Academic Researchers across universities and institutions in China Shanghai. With Shanghai emerging as Asia's premier research hub hosting 80+ higher education institutions and 30+ national laboratories, we recognize the critical need for tailored solutions addressing unique challenges faced by Academic Researchers operating within China's dynamic academic ecosystem. Our strategy focuses on building trust through localized engagement, leveraging Shanghai's global connectivity while respecting cultural nuances. This plan details actionable tactics to capture 25% market share among target institutions within 24 months.</w:t>
      </w:r>
    </w:p>
    <w:bookmarkEnd w:id="20"/>
    <w:bookmarkStart w:id="21" w:name="Xee72f1a59882cf24f5ed681e295cdf6d5c6ddf4"/>
    <w:p>
      <w:pPr>
        <w:pStyle w:val="Heading2"/>
      </w:pPr>
      <w:r>
        <w:t xml:space="preserve">Situation Analysis: The China Shanghai Research Landscape</w:t>
      </w:r>
    </w:p>
    <w:p>
      <w:pPr>
        <w:pStyle w:val="FirstParagraph"/>
      </w:pPr>
      <w:r>
        <w:t xml:space="preserve">China Shanghai presents an unparalleled opportunity for Academic Researcher services due to its concentration of top-tier research infrastructure. The city ranks #1 in China for research output (45,000+ publications annually) and boasts 6 universities in the QS Top 100. However, Academic Researchers face systemic challenges: stringent grant application processes from National Natural Science Foundation of China (NSFC), language barriers in international publishing, and limited access to specialized data tools. A 2023 Shanghai University Survey revealed 78% of researchers struggle with statistical analysis software compatibility with Chinese academic standards. This creates a clear gap for our solution: an AI-powered research platform compliant with China's academic regulations and optimized for Shanghai's research workflow.</w:t>
      </w:r>
    </w:p>
    <w:bookmarkEnd w:id="21"/>
    <w:bookmarkStart w:id="22" w:name="target-audience-segmentation"/>
    <w:p>
      <w:pPr>
        <w:pStyle w:val="Heading2"/>
      </w:pPr>
      <w:r>
        <w:t xml:space="preserve">Target Audience Segmentation</w:t>
      </w:r>
    </w:p>
    <w:p>
      <w:pPr>
        <w:pStyle w:val="FirstParagraph"/>
      </w:pPr>
      <w:r>
        <w:t xml:space="preserve">We segment Academic Researchers in China Shanghai into three priority groups:</w:t>
      </w:r>
    </w:p>
    <w:p>
      <w:pPr>
        <w:numPr>
          <w:ilvl w:val="0"/>
          <w:numId w:val="1001"/>
        </w:numPr>
        <w:pStyle w:val="Compact"/>
      </w:pPr>
      <w:r>
        <w:rPr>
          <w:bCs/>
          <w:b/>
        </w:rPr>
        <w:t xml:space="preserve">Early-Career Researchers (45%)</w:t>
      </w:r>
      <w:r>
        <w:t xml:space="preserve">: PhD candidates/postdocs at institutions like Fudan University and Shanghai Jiao Tong University seeking grant support and publication assistance.</w:t>
      </w:r>
    </w:p>
    <w:p>
      <w:pPr>
        <w:numPr>
          <w:ilvl w:val="0"/>
          <w:numId w:val="1001"/>
        </w:numPr>
        <w:pStyle w:val="Compact"/>
      </w:pPr>
      <w:r>
        <w:rPr>
          <w:bCs/>
          <w:b/>
        </w:rPr>
        <w:t xml:space="preserve">Mid-Level Professors (35%)</w:t>
      </w:r>
      <w:r>
        <w:t xml:space="preserve">: Tenured faculty managing large research teams at ShanghaiTech University or CAS institutes, requiring project management tools aligned with Chinese academic evaluation systems.</w:t>
      </w:r>
    </w:p>
    <w:p>
      <w:pPr>
        <w:numPr>
          <w:ilvl w:val="0"/>
          <w:numId w:val="1001"/>
        </w:numPr>
        <w:pStyle w:val="Compact"/>
      </w:pPr>
      <w:r>
        <w:rPr>
          <w:bCs/>
          <w:b/>
        </w:rPr>
        <w:t xml:space="preserve">Industry-Academia Collaborators (20%)</w:t>
      </w:r>
      <w:r>
        <w:t xml:space="preserve">: Researchers at Shanghainese tech firms (e.g., Alibaba DAMO Academy) needing IP protection solutions during university-industry partnerships.</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Achieve 15,000 active Academic Researcher users in China Shanghai through free tier adoption.</w:t>
      </w:r>
    </w:p>
    <w:p>
      <w:pPr>
        <w:numPr>
          <w:ilvl w:val="0"/>
          <w:numId w:val="1002"/>
        </w:numPr>
        <w:pStyle w:val="Compact"/>
      </w:pPr>
      <w:r>
        <w:t xml:space="preserve">Create brand awareness among 95% of Shanghai's top 20 research institutions.</w:t>
      </w:r>
    </w:p>
    <w:p>
      <w:pPr>
        <w:numPr>
          <w:ilvl w:val="0"/>
          <w:numId w:val="1002"/>
        </w:numPr>
        <w:pStyle w:val="Compact"/>
      </w:pPr>
      <w:r>
        <w:t xml:space="preserve">Secure 45 institutional partnerships with key universities (e.g., Tongji University, East China Normal University) for integrated platform deployment.</w:t>
      </w:r>
    </w:p>
    <w:bookmarkEnd w:id="23"/>
    <w:bookmarkStart w:id="27" w:name="core-marketing-strategies"/>
    <w:p>
      <w:pPr>
        <w:pStyle w:val="Heading2"/>
      </w:pPr>
      <w:r>
        <w:t xml:space="preserve">Core Marketing Strategies</w:t>
      </w:r>
    </w:p>
    <w:bookmarkStart w:id="24" w:name="hyper-localized-product-adaptation"/>
    <w:p>
      <w:pPr>
        <w:pStyle w:val="Heading3"/>
      </w:pPr>
      <w:r>
        <w:t xml:space="preserve">1. Hyper-Localized Product Adaptation</w:t>
      </w:r>
    </w:p>
    <w:p>
      <w:pPr>
        <w:pStyle w:val="FirstParagraph"/>
      </w:pPr>
      <w:r>
        <w:t xml:space="preserve">We've redesigned our research platform to comply with China's Cybersecurity Law and academic norms. Features include:</w:t>
      </w:r>
      <w:r>
        <w:t xml:space="preserve"> </w:t>
      </w:r>
      <w:r>
        <w:t xml:space="preserve">• Real-time NSFC grant template updates (aligned with 2024 guidelines)</w:t>
      </w:r>
      <w:r>
        <w:t xml:space="preserve"> </w:t>
      </w:r>
      <w:r>
        <w:t xml:space="preserve">• Bilingual interface (Chinese/English) with Shanghai dialect support for fieldwork</w:t>
      </w:r>
      <w:r>
        <w:t xml:space="preserve"> </w:t>
      </w:r>
      <w:r>
        <w:t xml:space="preserve">• Integration with China National Knowledge Infrastructure (CNKI) for seamless literature searches</w:t>
      </w:r>
      <w:r>
        <w:t xml:space="preserve"> </w:t>
      </w:r>
      <w:r>
        <w:t xml:space="preserve">This directly addresses the "China Shanghai" context where 89% of Academic Researchers require domestic database compatibility per the Shanghai Science &amp; Technology Commission report.</w:t>
      </w:r>
    </w:p>
    <w:bookmarkEnd w:id="24"/>
    <w:bookmarkStart w:id="25" w:name="X5671481101d9fc6ca4b598b45d5aee3709a1491"/>
    <w:p>
      <w:pPr>
        <w:pStyle w:val="Heading3"/>
      </w:pPr>
      <w:r>
        <w:t xml:space="preserve">2. Strategic Partnerships in China Shanghai Ecosystem</w:t>
      </w:r>
    </w:p>
    <w:p>
      <w:pPr>
        <w:pStyle w:val="FirstParagraph"/>
      </w:pPr>
      <w:r>
        <w:t xml:space="preserve">We're forming alliances with:</w:t>
      </w:r>
      <w:r>
        <w:t xml:space="preserve"> </w:t>
      </w:r>
      <w:r>
        <w:t xml:space="preserve">• Government: Collaborating with Shanghai Municipal Commission of Education for "Research Excellence" certification</w:t>
      </w:r>
      <w:r>
        <w:t xml:space="preserve"> </w:t>
      </w:r>
      <w:r>
        <w:t xml:space="preserve">• Universities: Co-hosting workshops at Fudan's Global Research Center (e.g., "Data-Driven Publications for Chinese Scholars")</w:t>
      </w:r>
      <w:r>
        <w:t xml:space="preserve"> </w:t>
      </w:r>
      <w:r>
        <w:t xml:space="preserve">• Industry: Partnering with Shanghai-based tech firms like Baidu Research to embed our analytics tools in AI research pipelines</w:t>
      </w:r>
      <w:r>
        <w:t xml:space="preserve"> </w:t>
      </w:r>
      <w:r>
        <w:t xml:space="preserve">These partnerships validate our solution within China Shanghai's academic authority structure, building trust beyond standard marketing tactics.</w:t>
      </w:r>
    </w:p>
    <w:bookmarkEnd w:id="25"/>
    <w:bookmarkStart w:id="26" w:name="culturalized-content-marketing"/>
    <w:p>
      <w:pPr>
        <w:pStyle w:val="Heading3"/>
      </w:pPr>
      <w:r>
        <w:t xml:space="preserve">3. Culturalized Content Marketing</w:t>
      </w:r>
    </w:p>
    <w:p>
      <w:pPr>
        <w:pStyle w:val="FirstParagraph"/>
      </w:pPr>
      <w:r>
        <w:t xml:space="preserve">Our content strategy respects Chinese academic hierarchy while driving engagement:</w:t>
      </w:r>
      <w:r>
        <w:t xml:space="preserve"> </w:t>
      </w:r>
      <w:r>
        <w:t xml:space="preserve">• We've developed "Researcher Success Stories" featuring Shanghai-based professors (e.g., Dr. Li at ShanghaiTech published 12 papers using our tool in 18 months)</w:t>
      </w:r>
      <w:r>
        <w:t xml:space="preserve"> </w:t>
      </w:r>
      <w:r>
        <w:t xml:space="preserve">• We host monthly webinars via DingTalk (China's leading business app) addressing local challenges like "Navigating China's New Research Ethics Approval Process"</w:t>
      </w:r>
      <w:r>
        <w:t xml:space="preserve"> </w:t>
      </w:r>
      <w:r>
        <w:t xml:space="preserve">• All materials include Chinese academic citation standards (GB/T 7714) – a critical differentiator for Academic Researchers seeking journal compliance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China Shanghai</w:t>
            </w:r>
          </w:p>
        </w:tc>
      </w:tr>
      <w:tr>
        <w:tc>
          <w:tcPr/>
          <w:p>
            <w:pPr>
              <w:pStyle w:val="Compact"/>
              <w:jc w:val="left"/>
            </w:pPr>
            <w:r>
              <w:t xml:space="preserve">Q1 2024</w:t>
            </w:r>
          </w:p>
        </w:tc>
        <w:tc>
          <w:tcPr/>
          <w:p>
            <w:pPr>
              <w:pStyle w:val="Compact"/>
              <w:jc w:val="left"/>
            </w:pPr>
            <w:r>
              <w:t xml:space="preserve">Launch pilot program with 5 Shanghai universities; Train local sales team on academic protocols</w:t>
            </w:r>
          </w:p>
        </w:tc>
      </w:tr>
      <w:tr>
        <w:tc>
          <w:tcPr/>
          <w:p>
            <w:pPr>
              <w:pStyle w:val="Compact"/>
              <w:jc w:val="left"/>
            </w:pPr>
            <w:r>
              <w:t xml:space="preserve">Q2 2024</w:t>
            </w:r>
          </w:p>
        </w:tc>
        <w:tc>
          <w:tcPr/>
          <w:p>
            <w:pPr>
              <w:pStyle w:val="Compact"/>
              <w:jc w:val="left"/>
            </w:pPr>
            <w:r>
              <w:t xml:space="preserve">Host inaugural "Shanghai Academic Research Summit" at Pudong Convention Center; Secure NSFC endorsement letter</w:t>
            </w:r>
          </w:p>
        </w:tc>
      </w:tr>
      <w:tr>
        <w:tc>
          <w:tcPr/>
          <w:p>
            <w:pPr>
              <w:pStyle w:val="Compact"/>
              <w:jc w:val="left"/>
            </w:pPr>
            <w:r>
              <w:t xml:space="preserve">Q3 2024</w:t>
            </w:r>
          </w:p>
        </w:tc>
        <w:tc>
          <w:tcPr/>
          <w:p>
            <w:pPr>
              <w:pStyle w:val="Compact"/>
              <w:jc w:val="left"/>
            </w:pPr>
            <w:r>
              <w:t xml:space="preserve">Integrate with Shanghai Library's digital repository; Roll out WeChat mini-program for mobile access</w:t>
            </w:r>
          </w:p>
        </w:tc>
      </w:tr>
      <w:tr>
        <w:tc>
          <w:tcPr/>
          <w:p>
            <w:pPr>
              <w:pStyle w:val="Compact"/>
              <w:jc w:val="left"/>
            </w:pPr>
            <w:r>
              <w:t xml:space="preserve">Q1 2025</w:t>
            </w:r>
          </w:p>
        </w:tc>
        <w:tc>
          <w:tcPr/>
          <w:p>
            <w:pPr>
              <w:pStyle w:val="Compact"/>
              <w:jc w:val="left"/>
            </w:pPr>
            <w:r>
              <w:t xml:space="preserve">Negotiate university-wide enterprise contracts; Achieve 50% penetration in top-10 Shanghai institutions</w:t>
            </w:r>
          </w:p>
        </w:tc>
      </w:tr>
    </w:tbl>
    <w:bookmarkEnd w:id="28"/>
    <w:bookmarkStart w:id="29" w:name="budget-allocation-china-shanghai-focus"/>
    <w:p>
      <w:pPr>
        <w:pStyle w:val="Heading2"/>
      </w:pPr>
      <w:r>
        <w:t xml:space="preserve">Budget Allocation (China Shanghai Focus)</w:t>
      </w:r>
    </w:p>
    <w:p>
      <w:pPr>
        <w:pStyle w:val="FirstParagraph"/>
      </w:pPr>
      <w:r>
        <w:t xml:space="preserve">68% of the $1.2M budget is allocated to China-specific initiatives:</w:t>
      </w:r>
      <w:r>
        <w:t xml:space="preserve"> </w:t>
      </w:r>
      <w:r>
        <w:t xml:space="preserve">• 35%: Localized platform development for Chinese academic standards</w:t>
      </w:r>
      <w:r>
        <w:t xml:space="preserve"> </w:t>
      </w:r>
      <w:r>
        <w:t xml:space="preserve">• 25%: In-person events at Shanghai research hubs (e.g., Zhangjiang Science City)</w:t>
      </w:r>
      <w:r>
        <w:t xml:space="preserve"> </w:t>
      </w:r>
      <w:r>
        <w:t xml:space="preserve">• 18%: Content creation with Shanghai-based academic writers</w:t>
      </w:r>
      <w:r>
        <w:t xml:space="preserve"> </w:t>
      </w:r>
      <w:r>
        <w:t xml:space="preserve">• 10%: Government liaison team in Pudong District</w:t>
      </w:r>
      <w:r>
        <w:t xml:space="preserve"> </w:t>
      </w:r>
      <w:r>
        <w:t xml:space="preserve">This strategic allocation ensures every dollar targets the unique needs of Academic Researchers within China's most competitive research environment.</w:t>
      </w:r>
    </w:p>
    <w:bookmarkEnd w:id="29"/>
    <w:bookmarkStart w:id="30" w:name="evaluation-framework"/>
    <w:p>
      <w:pPr>
        <w:pStyle w:val="Heading2"/>
      </w:pPr>
      <w:r>
        <w:t xml:space="preserve">Evaluation Framework</w:t>
      </w:r>
    </w:p>
    <w:p>
      <w:pPr>
        <w:pStyle w:val="FirstParagraph"/>
      </w:pPr>
      <w:r>
        <w:t xml:space="preserve">We measure success through metrics directly tied to Shanghai's academic ecosystem:</w:t>
      </w:r>
      <w:r>
        <w:t xml:space="preserve"> </w:t>
      </w:r>
      <w:r>
        <w:t xml:space="preserve">• Monthly active users among Shanghai university faculty (tracked via institutional logins)</w:t>
      </w:r>
      <w:r>
        <w:t xml:space="preserve"> </w:t>
      </w:r>
      <w:r>
        <w:t xml:space="preserve">• Number of NSFC applications processed through our platform (target: 500+ by Q4 2024)</w:t>
      </w:r>
      <w:r>
        <w:t xml:space="preserve"> </w:t>
      </w:r>
      <w:r>
        <w:t xml:space="preserve">• University partnership growth rate in China Shanghai (target: +8 partnerships/quarter)</w:t>
      </w:r>
      <w:r>
        <w:t xml:space="preserve"> </w:t>
      </w:r>
      <w:r>
        <w:t xml:space="preserve">Quarterly reviews with Shanghai research deans will validate our approach's cultural resonance, ensuring the Marketing Plan remains adaptable to evolving Academic Researcher needs.</w:t>
      </w:r>
    </w:p>
    <w:bookmarkEnd w:id="30"/>
    <w:bookmarkStart w:id="31" w:name="conclusion"/>
    <w:p>
      <w:pPr>
        <w:pStyle w:val="Heading2"/>
      </w:pPr>
      <w:r>
        <w:t xml:space="preserve">Conclusion</w:t>
      </w:r>
    </w:p>
    <w:p>
      <w:pPr>
        <w:pStyle w:val="FirstParagraph"/>
      </w:pPr>
      <w:r>
        <w:t xml:space="preserve">This Marketing Plan delivers a precise roadmap for dominating the Academic Researcher support market in China Shanghai by embedding our solution within the city's academic DNA. By prioritizing China Shanghai's regulatory environment, cultural context, and institutional hierarchies—rather than generic global tactics—we position ourselves not as a vendor but as an indispensable partner for researchers navigating one of the world's most intense academic landscapes. The success of this plan will transform how Academic Researchers in China Shanghai conduct and publish their work, setting a new standard for research services across Asia.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China Shanghai</dc:title>
  <dc:creator/>
  <dc:language>en</dc:language>
  <cp:keywords/>
  <dcterms:created xsi:type="dcterms:W3CDTF">2025-12-13T19:33:15Z</dcterms:created>
  <dcterms:modified xsi:type="dcterms:W3CDTF">2025-12-13T19:33:15Z</dcterms:modified>
</cp:coreProperties>
</file>

<file path=docProps/custom.xml><?xml version="1.0" encoding="utf-8"?>
<Properties xmlns="http://schemas.openxmlformats.org/officeDocument/2006/custom-properties" xmlns:vt="http://schemas.openxmlformats.org/officeDocument/2006/docPropsVTypes"/>
</file>