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Academic</w:t>
      </w:r>
      <w:r>
        <w:t xml:space="preserve"> </w:t>
      </w:r>
      <w:r>
        <w:t xml:space="preserve">Researchers</w:t>
      </w:r>
      <w:r>
        <w:t xml:space="preserve"> </w:t>
      </w:r>
      <w:r>
        <w:t xml:space="preserve">in</w:t>
      </w:r>
      <w:r>
        <w:t xml:space="preserve"> </w:t>
      </w:r>
      <w:r>
        <w:t xml:space="preserve">France</w:t>
      </w:r>
      <w:r>
        <w:t xml:space="preserve"> </w:t>
      </w:r>
      <w:r>
        <w:t xml:space="preserve">Paris</w:t>
      </w:r>
    </w:p>
    <w:bookmarkStart w:id="33" w:name="Xaa88d5907cb387ae4efb8ef2fea350c4b133b5f"/>
    <w:p>
      <w:pPr>
        <w:pStyle w:val="Heading1"/>
      </w:pPr>
      <w:r>
        <w:t xml:space="preserve">Comprehensive Marketing Plan: Positioning Academic Researcher Support Services in France Paris</w:t>
      </w:r>
    </w:p>
    <w:bookmarkStart w:id="20" w:name="executive-summary"/>
    <w:p>
      <w:pPr>
        <w:pStyle w:val="Heading2"/>
      </w:pPr>
      <w:r>
        <w:t xml:space="preserve">Executive Summary</w:t>
      </w:r>
    </w:p>
    <w:p>
      <w:pPr>
        <w:pStyle w:val="FirstParagraph"/>
      </w:pPr>
      <w:r>
        <w:t xml:space="preserve">This Marketing Plan details a targeted strategy to position specialized academic support services for researchers within the dynamic ecosystem of Paris, France. Recognizing that the French academic landscape demands culturally nuanced engagement, this plan leverages Paris's status as Europe's premier hub for humanities, sciences, and interdisciplinary research. Our approach centers on addressing the unique challenges faced by</w:t>
      </w:r>
      <w:r>
        <w:t xml:space="preserve"> </w:t>
      </w:r>
      <w:r>
        <w:rPr>
          <w:iCs/>
          <w:i/>
        </w:rPr>
        <w:t xml:space="preserve">Academic Researcher</w:t>
      </w:r>
      <w:r>
        <w:t xml:space="preserve"> </w:t>
      </w:r>
      <w:r>
        <w:t xml:space="preserve">professionals operating in</w:t>
      </w:r>
      <w:r>
        <w:t xml:space="preserve"> </w:t>
      </w:r>
      <w:r>
        <w:rPr>
          <w:bCs/>
          <w:b/>
        </w:rPr>
        <w:t xml:space="preserve">France Paris</w:t>
      </w:r>
      <w:r>
        <w:t xml:space="preserve">, ensuring every tactic aligns with local academic protocols, language expectations, and institutional priorities.</w:t>
      </w:r>
    </w:p>
    <w:bookmarkEnd w:id="20"/>
    <w:bookmarkStart w:id="21" w:name="X6a7ca771ff3553ffcc9ffbd2c87e9333988b95f"/>
    <w:p>
      <w:pPr>
        <w:pStyle w:val="Heading2"/>
      </w:pPr>
      <w:r>
        <w:t xml:space="preserve">I. Target Audience: The Academic Researcher Persona in Paris</w:t>
      </w:r>
    </w:p>
    <w:p>
      <w:pPr>
        <w:pStyle w:val="FirstParagraph"/>
      </w:pPr>
      <w:r>
        <w:t xml:space="preserve">The primary audience comprises early-career to established researchers affiliated with Parisian institutions (Sorbonne University, École Normale Supérieure, CNRS labs, Pasteur Institute). Key characteristics include:</w:t>
      </w:r>
    </w:p>
    <w:p>
      <w:pPr>
        <w:numPr>
          <w:ilvl w:val="0"/>
          <w:numId w:val="1001"/>
        </w:numPr>
        <w:pStyle w:val="Compact"/>
      </w:pPr>
      <w:r>
        <w:rPr>
          <w:bCs/>
          <w:b/>
        </w:rPr>
        <w:t xml:space="preserve">Language &amp; Cultural Nuance:</w:t>
      </w:r>
      <w:r>
        <w:t xml:space="preserve"> </w:t>
      </w:r>
      <w:r>
        <w:t xml:space="preserve">Bilingual proficiency (French/English) is essential; French fluency is non-negotiable for grant applications and institutional integration in France.</w:t>
      </w:r>
    </w:p>
    <w:p>
      <w:pPr>
        <w:numPr>
          <w:ilvl w:val="0"/>
          <w:numId w:val="1001"/>
        </w:numPr>
        <w:pStyle w:val="Compact"/>
      </w:pPr>
      <w:r>
        <w:rPr>
          <w:bCs/>
          <w:b/>
        </w:rPr>
        <w:t xml:space="preserve">Pain Points:</w:t>
      </w:r>
      <w:r>
        <w:t xml:space="preserve"> </w:t>
      </w:r>
      <w:r>
        <w:t xml:space="preserve">Navigating complex French administrative systems (e.g., CNRS funding, "Habilitation" requirements), securing competitive grants (ANR, ERC), publishing in high-impact journals while meeting French academic standards, and building collaborative networks within Paris's dense academic community.</w:t>
      </w:r>
    </w:p>
    <w:p>
      <w:pPr>
        <w:numPr>
          <w:ilvl w:val="0"/>
          <w:numId w:val="1001"/>
        </w:numPr>
        <w:pStyle w:val="Compact"/>
      </w:pPr>
      <w:r>
        <w:rPr>
          <w:bCs/>
          <w:b/>
        </w:rPr>
        <w:t xml:space="preserve">Motivations:</w:t>
      </w:r>
      <w:r>
        <w:t xml:space="preserve"> </w:t>
      </w:r>
      <w:r>
        <w:t xml:space="preserve">Career advancement within the French system (e.g., achieving "Maître de Conférences" position), contributing to global research impact, accessing world-class facilities (e.g., synchrotrons at Soleil), and securing long-term funding.</w:t>
      </w:r>
    </w:p>
    <w:bookmarkEnd w:id="21"/>
    <w:bookmarkStart w:id="22" w:name="Xc9402d5eb850e0e92bb0059b9f31be566d97636"/>
    <w:p>
      <w:pPr>
        <w:pStyle w:val="Heading2"/>
      </w:pPr>
      <w:r>
        <w:t xml:space="preserve">II. Paris-Specific Market Analysis: Why France Paris Demands a Tailored Approach</w:t>
      </w:r>
    </w:p>
    <w:p>
      <w:pPr>
        <w:pStyle w:val="FirstParagraph"/>
      </w:pPr>
      <w:r>
        <w:t xml:space="preserve">Paris is not merely a location—it’s an ecosystem. The city hosts 10% of all French researchers and 60% of EU-funded research projects in humanities/social sciences (CNRS, 2023). However, this density creates unique barriers:</w:t>
      </w:r>
    </w:p>
    <w:p>
      <w:pPr>
        <w:numPr>
          <w:ilvl w:val="0"/>
          <w:numId w:val="1002"/>
        </w:numPr>
        <w:pStyle w:val="Compact"/>
      </w:pPr>
      <w:r>
        <w:rPr>
          <w:bCs/>
          <w:b/>
        </w:rPr>
        <w:t xml:space="preserve">Bureaucratic Complexity:</w:t>
      </w:r>
      <w:r>
        <w:t xml:space="preserve"> </w:t>
      </w:r>
      <w:r>
        <w:t xml:space="preserve">French research administration requires meticulous adherence to procedures. A single error in a CNRS grant application can delay funding by months.</w:t>
      </w:r>
    </w:p>
    <w:p>
      <w:pPr>
        <w:numPr>
          <w:ilvl w:val="0"/>
          <w:numId w:val="1002"/>
        </w:numPr>
        <w:pStyle w:val="Compact"/>
      </w:pPr>
      <w:r>
        <w:rPr>
          <w:bCs/>
          <w:b/>
        </w:rPr>
        <w:t xml:space="preserve">Cultural Expectations:</w:t>
      </w:r>
      <w:r>
        <w:t xml:space="preserve"> </w:t>
      </w:r>
      <w:r>
        <w:t xml:space="preserve">Formality is paramount; networking occurs through structured events (e.g., "séminaires" at Collège de France), not casual meetups.</w:t>
      </w:r>
    </w:p>
    <w:p>
      <w:pPr>
        <w:numPr>
          <w:ilvl w:val="0"/>
          <w:numId w:val="1002"/>
        </w:numPr>
        <w:pStyle w:val="Compact"/>
      </w:pPr>
      <w:r>
        <w:rPr>
          <w:bCs/>
          <w:b/>
        </w:rPr>
        <w:t xml:space="preserve">Competitive Landscape:</w:t>
      </w:r>
      <w:r>
        <w:t xml:space="preserve"> </w:t>
      </w:r>
      <w:r>
        <w:t xml:space="preserve">Parisian institutions fiercely compete for top talent, demanding exceptional value propositions from support services.</w:t>
      </w:r>
    </w:p>
    <w:p>
      <w:pPr>
        <w:pStyle w:val="FirstParagraph"/>
      </w:pPr>
      <w:r>
        <w:t xml:space="preserve">This necessitates a</w:t>
      </w:r>
      <w:r>
        <w:t xml:space="preserve"> </w:t>
      </w:r>
      <w:r>
        <w:rPr>
          <w:iCs/>
          <w:i/>
        </w:rPr>
        <w:t xml:space="preserve">Marketing Plan</w:t>
      </w:r>
      <w:r>
        <w:t xml:space="preserve"> </w:t>
      </w:r>
      <w:r>
        <w:t xml:space="preserve">that transcends generic outreach—focusing on deep integration into Paris’s academic fabric.</w:t>
      </w:r>
    </w:p>
    <w:bookmarkEnd w:id="22"/>
    <w:bookmarkStart w:id="26" w:name="Xc727e221449d5e1c1e57d872a6e3e82c1760609"/>
    <w:p>
      <w:pPr>
        <w:pStyle w:val="Heading2"/>
      </w:pPr>
      <w:r>
        <w:t xml:space="preserve">III. Core Marketing Strategy: Positioning for the Paris Academic Ecosystem</w:t>
      </w:r>
    </w:p>
    <w:p>
      <w:pPr>
        <w:pStyle w:val="FirstParagraph"/>
      </w:pPr>
      <w:r>
        <w:t xml:space="preserve">We position our service as the indispensable "Paris Academic Partner," not a vendor. The strategy revolves around three pillars:</w:t>
      </w:r>
    </w:p>
    <w:bookmarkStart w:id="23" w:name="a-cultural-linguistic-immersion"/>
    <w:p>
      <w:pPr>
        <w:pStyle w:val="Heading3"/>
      </w:pPr>
      <w:r>
        <w:t xml:space="preserve">A) Cultural &amp; Linguistic Immersion</w:t>
      </w:r>
    </w:p>
    <w:p>
      <w:pPr>
        <w:numPr>
          <w:ilvl w:val="0"/>
          <w:numId w:val="1003"/>
        </w:numPr>
        <w:pStyle w:val="Compact"/>
      </w:pPr>
      <w:r>
        <w:t xml:space="preserve">Content is co-created with French academic advisors (e.g., former CNRS directors) to ensure compliance with local norms.</w:t>
      </w:r>
    </w:p>
    <w:p>
      <w:pPr>
        <w:numPr>
          <w:ilvl w:val="0"/>
          <w:numId w:val="1003"/>
        </w:numPr>
        <w:pStyle w:val="Compact"/>
      </w:pPr>
      <w:r>
        <w:t xml:space="preserve">All materials are bilingual, but French-language versions dominate for institutional use (e.g., "Guide d'Accès aux Subventions CNRS").</w:t>
      </w:r>
    </w:p>
    <w:p>
      <w:pPr>
        <w:numPr>
          <w:ilvl w:val="0"/>
          <w:numId w:val="1003"/>
        </w:numPr>
        <w:pStyle w:val="Compact"/>
      </w:pPr>
      <w:r>
        <w:t xml:space="preserve">Services include mandatory French business etiquette training for international researchers.</w:t>
      </w:r>
    </w:p>
    <w:bookmarkEnd w:id="23"/>
    <w:bookmarkStart w:id="24" w:name="b-institutional-alliances-in-paris"/>
    <w:p>
      <w:pPr>
        <w:pStyle w:val="Heading3"/>
      </w:pPr>
      <w:r>
        <w:t xml:space="preserve">B) Institutional Alliances in Paris</w:t>
      </w:r>
    </w:p>
    <w:p>
      <w:pPr>
        <w:numPr>
          <w:ilvl w:val="0"/>
          <w:numId w:val="1004"/>
        </w:numPr>
        <w:pStyle w:val="Compact"/>
      </w:pPr>
      <w:r>
        <w:rPr>
          <w:bCs/>
          <w:b/>
        </w:rPr>
        <w:t xml:space="preserve">Key Partnerships:</w:t>
      </w:r>
      <w:r>
        <w:t xml:space="preserve"> </w:t>
      </w:r>
      <w:r>
        <w:t xml:space="preserve">Collaborate with Sorbonne Université's Research Development Office and the Paris Île-de-France Regional Innovation Agency (AIF) to co-host events.</w:t>
      </w:r>
    </w:p>
    <w:p>
      <w:pPr>
        <w:numPr>
          <w:ilvl w:val="0"/>
          <w:numId w:val="1004"/>
        </w:numPr>
        <w:pStyle w:val="Compact"/>
      </w:pPr>
      <w:r>
        <w:rPr>
          <w:bCs/>
          <w:b/>
        </w:rPr>
        <w:t xml:space="preserve">Tactical Integration:</w:t>
      </w:r>
      <w:r>
        <w:t xml:space="preserve"> </w:t>
      </w:r>
      <w:r>
        <w:t xml:space="preserve">Embed our staff within Parisian research hubs (e.g., CEA Saclay’s "Paris-Saclay Cluster" workshops), not just offer remote support.</w:t>
      </w:r>
    </w:p>
    <w:bookmarkEnd w:id="24"/>
    <w:bookmarkStart w:id="25" w:name="c-value-driven-pain-point-resolution"/>
    <w:p>
      <w:pPr>
        <w:pStyle w:val="Heading3"/>
      </w:pPr>
      <w:r>
        <w:t xml:space="preserve">C) Value-Driven Pain Point Resolution</w:t>
      </w:r>
    </w:p>
    <w:p>
      <w:pPr>
        <w:pStyle w:val="FirstParagraph"/>
      </w:pPr>
      <w:r>
        <w:t xml:space="preserve">Instead of selling generic services, we directly solve Paris-specific problems:</w:t>
      </w:r>
    </w:p>
    <w:p>
      <w:pPr>
        <w:numPr>
          <w:ilvl w:val="0"/>
          <w:numId w:val="1005"/>
        </w:numPr>
        <w:pStyle w:val="Compact"/>
      </w:pPr>
      <w:r>
        <w:rPr>
          <w:iCs/>
          <w:i/>
        </w:rPr>
        <w:t xml:space="preserve">For Grant Applications:</w:t>
      </w:r>
      <w:r>
        <w:t xml:space="preserve"> </w:t>
      </w:r>
      <w:r>
        <w:t xml:space="preserve">"ANR Success Toolkit" featuring real French grant templates and CNRS review feedback.</w:t>
      </w:r>
    </w:p>
    <w:p>
      <w:pPr>
        <w:numPr>
          <w:ilvl w:val="0"/>
          <w:numId w:val="1005"/>
        </w:numPr>
        <w:pStyle w:val="Compact"/>
      </w:pPr>
      <w:r>
        <w:rPr>
          <w:iCs/>
          <w:i/>
        </w:rPr>
        <w:t xml:space="preserve">For Networking:</w:t>
      </w:r>
      <w:r>
        <w:t xml:space="preserve"> </w:t>
      </w:r>
      <w:r>
        <w:t xml:space="preserve">"Paris Academic Mixer Series" at historic venues (e.g., Institut de France), structured to mirror French academic networking etiquette.</w:t>
      </w:r>
    </w:p>
    <w:p>
      <w:pPr>
        <w:numPr>
          <w:ilvl w:val="0"/>
          <w:numId w:val="1005"/>
        </w:numPr>
        <w:pStyle w:val="Compact"/>
      </w:pPr>
      <w:r>
        <w:rPr>
          <w:iCs/>
          <w:i/>
        </w:rPr>
        <w:t xml:space="preserve">For Publication:</w:t>
      </w:r>
      <w:r>
        <w:t xml:space="preserve"> </w:t>
      </w:r>
      <w:r>
        <w:t xml:space="preserve">Workshops on adapting research for French journals (e.g., *Revue Française des Sciences Sociales*) alongside international outlets.</w:t>
      </w:r>
    </w:p>
    <w:bookmarkEnd w:id="25"/>
    <w:bookmarkEnd w:id="26"/>
    <w:bookmarkStart w:id="30" w:name="Xed9779dd363e59e87f3c2da2b5dcbedb8bc66fb"/>
    <w:p>
      <w:pPr>
        <w:pStyle w:val="Heading2"/>
      </w:pPr>
      <w:r>
        <w:t xml:space="preserve">IV. Tactical Implementation: Paris-Centric Action Plan</w:t>
      </w:r>
    </w:p>
    <w:p>
      <w:pPr>
        <w:pStyle w:val="FirstParagraph"/>
      </w:pPr>
      <w:r>
        <w:t xml:space="preserve">This section details execution within</w:t>
      </w:r>
      <w:r>
        <w:t xml:space="preserve"> </w:t>
      </w:r>
      <w:r>
        <w:rPr>
          <w:bCs/>
          <w:b/>
        </w:rPr>
        <w:t xml:space="preserve">France Paris</w:t>
      </w:r>
      <w:r>
        <w:t xml:space="preserve">, ensuring maximum relevance:</w:t>
      </w:r>
    </w:p>
    <w:bookmarkStart w:id="27" w:name="phase-1-awareness-months-1-3"/>
    <w:p>
      <w:pPr>
        <w:pStyle w:val="Heading3"/>
      </w:pPr>
      <w:r>
        <w:t xml:space="preserve">Phase 1: Awareness (Months 1-3)</w:t>
      </w:r>
    </w:p>
    <w:p>
      <w:pPr>
        <w:numPr>
          <w:ilvl w:val="0"/>
          <w:numId w:val="1006"/>
        </w:numPr>
        <w:pStyle w:val="Compact"/>
      </w:pPr>
      <w:r>
        <w:rPr>
          <w:bCs/>
          <w:b/>
        </w:rPr>
        <w:t xml:space="preserve">Localized Digital Campaigns:</w:t>
      </w:r>
      <w:r>
        <w:t xml:space="preserve"> </w:t>
      </w:r>
      <w:r>
        <w:t xml:space="preserve">Targeted LinkedIn ads to researchers at Paris institutions using French job titles (e.g., "Chargé de Recherche CNRS"). Content focuses on "5 French Research Bureaucracy Hacks."</w:t>
      </w:r>
    </w:p>
    <w:p>
      <w:pPr>
        <w:numPr>
          <w:ilvl w:val="0"/>
          <w:numId w:val="1006"/>
        </w:numPr>
        <w:pStyle w:val="Compact"/>
      </w:pPr>
      <w:r>
        <w:rPr>
          <w:bCs/>
          <w:b/>
        </w:rPr>
        <w:t xml:space="preserve">Institutional Co-Marketing:</w:t>
      </w:r>
      <w:r>
        <w:t xml:space="preserve"> </w:t>
      </w:r>
      <w:r>
        <w:t xml:space="preserve">Sponsor the Sorbonne’s annual "Paris Research Week," offering free sessions on navigating ANR funding.</w:t>
      </w:r>
    </w:p>
    <w:bookmarkEnd w:id="27"/>
    <w:bookmarkStart w:id="28" w:name="phase-2-engagement-months-4-6"/>
    <w:p>
      <w:pPr>
        <w:pStyle w:val="Heading3"/>
      </w:pPr>
      <w:r>
        <w:t xml:space="preserve">Phase 2: Engagement (Months 4-6)</w:t>
      </w:r>
    </w:p>
    <w:p>
      <w:pPr>
        <w:numPr>
          <w:ilvl w:val="0"/>
          <w:numId w:val="1007"/>
        </w:numPr>
        <w:pStyle w:val="Compact"/>
      </w:pPr>
      <w:r>
        <w:rPr>
          <w:bCs/>
          <w:b/>
        </w:rPr>
        <w:t xml:space="preserve">Hyper-Local Events:</w:t>
      </w:r>
      <w:r>
        <w:t xml:space="preserve"> </w:t>
      </w:r>
      <w:r>
        <w:t xml:space="preserve">Host "Research Finance Clinics" at Parisian venues (e.g., Maison de la Recherche, Sorbonne) with French-speaking advisors. Each clinic addresses a specific pain point (e.g., "Visa Processing for Postdocs in France").</w:t>
      </w:r>
    </w:p>
    <w:p>
      <w:pPr>
        <w:numPr>
          <w:ilvl w:val="0"/>
          <w:numId w:val="1007"/>
        </w:numPr>
        <w:pStyle w:val="Compact"/>
      </w:pPr>
      <w:r>
        <w:rPr>
          <w:bCs/>
          <w:b/>
        </w:rPr>
        <w:t xml:space="preserve">Content Partnerships:</w:t>
      </w:r>
      <w:r>
        <w:t xml:space="preserve"> </w:t>
      </w:r>
      <w:r>
        <w:t xml:space="preserve">Co-author whitepapers with the Association des Universités de Paris (AUP), published in both French and English on their platform.</w:t>
      </w:r>
    </w:p>
    <w:bookmarkEnd w:id="28"/>
    <w:bookmarkStart w:id="29" w:name="phase-3-conversion-retention-months-7-12"/>
    <w:p>
      <w:pPr>
        <w:pStyle w:val="Heading3"/>
      </w:pPr>
      <w:r>
        <w:t xml:space="preserve">Phase 3: Conversion &amp; Retention (Months 7-12)</w:t>
      </w:r>
    </w:p>
    <w:p>
      <w:pPr>
        <w:numPr>
          <w:ilvl w:val="0"/>
          <w:numId w:val="1008"/>
        </w:numPr>
        <w:pStyle w:val="Compact"/>
      </w:pPr>
      <w:r>
        <w:rPr>
          <w:bCs/>
          <w:b/>
        </w:rPr>
        <w:t xml:space="preserve">Personalized Service Tiers:</w:t>
      </w:r>
      <w:r>
        <w:t xml:space="preserve"> </w:t>
      </w:r>
      <w:r>
        <w:t xml:space="preserve">"Paris Accelerator" package includes dedicated French-speaking researcher liaison for grant applications and institutional navigation.</w:t>
      </w:r>
    </w:p>
    <w:p>
      <w:pPr>
        <w:numPr>
          <w:ilvl w:val="0"/>
          <w:numId w:val="1008"/>
        </w:numPr>
        <w:pStyle w:val="Compact"/>
      </w:pPr>
      <w:r>
        <w:rPr>
          <w:bCs/>
          <w:b/>
        </w:rPr>
        <w:t xml:space="preserve">Loyalty Program:</w:t>
      </w:r>
      <w:r>
        <w:t xml:space="preserve"> </w:t>
      </w:r>
      <w:r>
        <w:t xml:space="preserve">"Academic Network Builder" rewards for referrals within Parisian institutions (e.g., discounts on future workshops for each successful referral).</w:t>
      </w:r>
    </w:p>
    <w:bookmarkEnd w:id="29"/>
    <w:bookmarkEnd w:id="30"/>
    <w:bookmarkStart w:id="31" w:name="X13e1303e497b0aa03bf24cad01c73b4a1a9afe6"/>
    <w:p>
      <w:pPr>
        <w:pStyle w:val="Heading2"/>
      </w:pPr>
      <w:r>
        <w:t xml:space="preserve">V. Key Performance Indicators (KPIs) Aligned with Paris Context</w:t>
      </w:r>
    </w:p>
    <w:p>
      <w:pPr>
        <w:pStyle w:val="FirstParagraph"/>
      </w:pPr>
      <w:r>
        <w:t xml:space="preserve">Success is measured by metrics relevant to the French academic environment:</w:t>
      </w:r>
    </w:p>
    <w:p>
      <w:pPr>
        <w:numPr>
          <w:ilvl w:val="0"/>
          <w:numId w:val="1009"/>
        </w:numPr>
        <w:pStyle w:val="Compact"/>
      </w:pPr>
      <w:r>
        <w:rPr>
          <w:bCs/>
          <w:b/>
        </w:rPr>
        <w:t xml:space="preserve">Paris Institution Adoption Rate:</w:t>
      </w:r>
      <w:r>
        <w:t xml:space="preserve"> </w:t>
      </w:r>
      <w:r>
        <w:t xml:space="preserve">Target: 30% of Sorbonne University departments and CNRS labs within 18 months.</w:t>
      </w:r>
    </w:p>
    <w:p>
      <w:pPr>
        <w:numPr>
          <w:ilvl w:val="0"/>
          <w:numId w:val="1009"/>
        </w:numPr>
        <w:pStyle w:val="Compact"/>
      </w:pPr>
      <w:r>
        <w:rPr>
          <w:bCs/>
          <w:b/>
        </w:rPr>
        <w:t xml:space="preserve">Grant Success Rate Increase:</w:t>
      </w:r>
      <w:r>
        <w:t xml:space="preserve"> </w:t>
      </w:r>
      <w:r>
        <w:t xml:space="preserve">Benchmark: Achieve a 25% higher ANR funding success rate for clients vs. non-clients (using CNRS data).</w:t>
      </w:r>
    </w:p>
    <w:p>
      <w:pPr>
        <w:numPr>
          <w:ilvl w:val="0"/>
          <w:numId w:val="1009"/>
        </w:numPr>
        <w:pStyle w:val="Compact"/>
      </w:pPr>
      <w:r>
        <w:rPr>
          <w:bCs/>
          <w:b/>
        </w:rPr>
        <w:t xml:space="preserve">Paris Network Depth:</w:t>
      </w:r>
      <w:r>
        <w:t xml:space="preserve"> </w:t>
      </w:r>
      <w:r>
        <w:t xml:space="preserve">Measure by number of active Paris-based academic partnerships (target: 15+ by Year 1).</w:t>
      </w:r>
    </w:p>
    <w:p>
      <w:pPr>
        <w:numPr>
          <w:ilvl w:val="0"/>
          <w:numId w:val="1009"/>
        </w:numPr>
        <w:pStyle w:val="Compact"/>
      </w:pPr>
      <w:r>
        <w:rPr>
          <w:bCs/>
          <w:b/>
        </w:rPr>
        <w:t xml:space="preserve">Cultural Relevance Score:</w:t>
      </w:r>
      <w:r>
        <w:t xml:space="preserve"> </w:t>
      </w:r>
      <w:r>
        <w:t xml:space="preserve">Survey-based metric assessing service alignment with French academic norms (target: &gt;4.2/5).</w:t>
      </w:r>
    </w:p>
    <w:bookmarkEnd w:id="31"/>
    <w:bookmarkStart w:id="32" w:name="vi.-conclusion-the-paris-advantage"/>
    <w:p>
      <w:pPr>
        <w:pStyle w:val="Heading2"/>
      </w:pPr>
      <w:r>
        <w:t xml:space="preserve">VI. Conclusion: The Paris Advantage</w:t>
      </w:r>
    </w:p>
    <w:p>
      <w:pPr>
        <w:pStyle w:val="FirstParagraph"/>
      </w:pPr>
      <w:r>
        <w:t xml:space="preserve">This Marketing Plan positions our services as the essential bridge between global research ambitions and the intricacies of conducting scholarship in</w:t>
      </w:r>
      <w:r>
        <w:t xml:space="preserve"> </w:t>
      </w:r>
      <w:r>
        <w:rPr>
          <w:bCs/>
          <w:b/>
        </w:rPr>
        <w:t xml:space="preserve">France Paris</w:t>
      </w:r>
      <w:r>
        <w:t xml:space="preserve">. By embedding ourselves within Paris’s academic ecosystem—not just targeting it—we transform from a service provider into a trusted institutional ally. The focus on French language proficiency, bureaucratic expertise, and culturally attuned networking ensures that every interaction resonates with the unique identity of the</w:t>
      </w:r>
      <w:r>
        <w:t xml:space="preserve"> </w:t>
      </w:r>
      <w:r>
        <w:rPr>
          <w:iCs/>
          <w:i/>
        </w:rPr>
        <w:t xml:space="preserve">Academic Researcher</w:t>
      </w:r>
      <w:r>
        <w:t xml:space="preserve"> </w:t>
      </w:r>
      <w:r>
        <w:t xml:space="preserve">in France. In a landscape where understanding local norms is as vital as research excellence itself, this plan delivers sustainable value for both researchers and Parisian institutions. The result? A thriving community of empowered academic professionals driving innovation from the heart of Europe’s most influential research capital.</w:t>
      </w:r>
    </w:p>
    <w:p>
      <w:pPr>
        <w:pStyle w:val="BodyText"/>
      </w:pPr>
      <w:r>
        <w:rPr>
          <w:bCs/>
          <w:b/>
        </w:rPr>
        <w:t xml:space="preserve">Total Word Count: 857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Academic Researchers in France Paris</dc:title>
  <dc:creator/>
  <dc:language>en</dc:language>
  <cp:keywords/>
  <dcterms:created xsi:type="dcterms:W3CDTF">2025-12-15T21:57:31Z</dcterms:created>
  <dcterms:modified xsi:type="dcterms:W3CDTF">2025-12-15T21:57:31Z</dcterms:modified>
</cp:coreProperties>
</file>

<file path=docProps/custom.xml><?xml version="1.0" encoding="utf-8"?>
<Properties xmlns="http://schemas.openxmlformats.org/officeDocument/2006/custom-properties" xmlns:vt="http://schemas.openxmlformats.org/officeDocument/2006/docPropsVTypes"/>
</file>