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0ff24db7968d9618068e3833b42e86d01a724d6"/>
    <w:p>
      <w:pPr>
        <w:pStyle w:val="Heading1"/>
      </w:pPr>
      <w:r>
        <w:t xml:space="preserve">Strategic Marketing Plan: Targeting Academic Researchers in Germany Munich</w:t>
      </w:r>
    </w:p>
    <w:bookmarkStart w:id="20" w:name="executive-summary"/>
    <w:p>
      <w:pPr>
        <w:pStyle w:val="Heading2"/>
      </w:pPr>
      <w:r>
        <w:t xml:space="preserve">Executive Summary</w:t>
      </w:r>
    </w:p>
    <w:p>
      <w:pPr>
        <w:pStyle w:val="FirstParagraph"/>
      </w:pPr>
      <w:r>
        <w:t xml:space="preserve">This comprehensive Marketing Plan outlines a tailored strategy to position our research support services as the indispensable solution for Academic Researchers operating within the dynamic ecosystem of Germany Munich. Munich, home to prestigious institutions like Technical University of Munich (TUM), Ludwig-Maximilians-Universität (LMU), and Fraunhofer Institutes, presents a unique market opportunity where cutting-edge research intersects with stringent funding demands. This plan addresses the specific challenges faced by Academic Researchers navigating Germany's competitive academic landscape, leveraging Munich's status as Europe's innovation hub. Our goal is to become the trusted partner for 35% of high-impact researchers in Munich within 24 months through hyper-relevant value propositions.</w:t>
      </w:r>
    </w:p>
    <w:bookmarkEnd w:id="20"/>
    <w:bookmarkStart w:id="21" w:name="X9378f89e684de5b736d43884436395a7f4af0a6"/>
    <w:p>
      <w:pPr>
        <w:pStyle w:val="Heading2"/>
      </w:pPr>
      <w:r>
        <w:t xml:space="preserve">Market Analysis: The Academic Researcher Landscape in Germany Munich</w:t>
      </w:r>
    </w:p>
    <w:p>
      <w:pPr>
        <w:pStyle w:val="FirstParagraph"/>
      </w:pPr>
      <w:r>
        <w:t xml:space="preserve">Munich’s research ecosystem is defined by its concentration of excellence. Over 15,000 Academic Researchers are employed across key institutions, driving innovation in AI, biotechnology, and engineering. However, significant pain points persist:</w:t>
      </w:r>
    </w:p>
    <w:p>
      <w:pPr>
        <w:numPr>
          <w:ilvl w:val="0"/>
          <w:numId w:val="1001"/>
        </w:numPr>
        <w:pStyle w:val="Compact"/>
      </w:pPr>
      <w:r>
        <w:rPr>
          <w:bCs/>
          <w:b/>
        </w:rPr>
        <w:t xml:space="preserve">Funding Pressure:</w:t>
      </w:r>
      <w:r>
        <w:t xml:space="preserve"> </w:t>
      </w:r>
      <w:r>
        <w:t xml:space="preserve">Only 42% of DFG grant applications succeed in Bavaria (DFG 2023), creating intense pressure on Academic Researchers to secure competitive funding.</w:t>
      </w:r>
    </w:p>
    <w:p>
      <w:pPr>
        <w:numPr>
          <w:ilvl w:val="0"/>
          <w:numId w:val="1001"/>
        </w:numPr>
        <w:pStyle w:val="Compact"/>
      </w:pPr>
      <w:r>
        <w:rPr>
          <w:bCs/>
          <w:b/>
        </w:rPr>
        <w:t xml:space="preserve">Collaboration Barriers:</w:t>
      </w:r>
      <w:r>
        <w:t xml:space="preserve"> </w:t>
      </w:r>
      <w:r>
        <w:t xml:space="preserve">Interdisciplinary projects face bureaucratic hurdles between Munich’s universities and industry partners (Bavarian Ministry of Science, 2023).</w:t>
      </w:r>
    </w:p>
    <w:p>
      <w:pPr>
        <w:numPr>
          <w:ilvl w:val="0"/>
          <w:numId w:val="1001"/>
        </w:numPr>
        <w:pStyle w:val="Compact"/>
      </w:pPr>
      <w:r>
        <w:rPr>
          <w:bCs/>
          <w:b/>
        </w:rPr>
        <w:t xml:space="preserve">Time Constraints:</w:t>
      </w:r>
      <w:r>
        <w:t xml:space="preserve"> </w:t>
      </w:r>
      <w:r>
        <w:t xml:space="preserve">Academic Researchers spend only 47% of their time on actual research due to grant writing and administrative tasks (TUM Survey, 2024).</w:t>
      </w:r>
    </w:p>
    <w:p>
      <w:pPr>
        <w:pStyle w:val="FirstParagraph"/>
      </w:pPr>
      <w:r>
        <w:t xml:space="preserve">This context makes Germany Munich a strategic priority. Our plan directly addresses these issues through solutions designed for the Munich academic workflow, such as localized grant application workshops and industry-academia bridge programs aligned with Bavaria's AI strategy.</w:t>
      </w:r>
    </w:p>
    <w:bookmarkEnd w:id="21"/>
    <w:bookmarkStart w:id="22" w:name="X3117afd55096507382c7fa6190d45014295e069"/>
    <w:p>
      <w:pPr>
        <w:pStyle w:val="Heading2"/>
      </w:pPr>
      <w:r>
        <w:t xml:space="preserve">Target Audience: The German Academic Researcher in Munich</w:t>
      </w:r>
    </w:p>
    <w:p>
      <w:pPr>
        <w:pStyle w:val="FirstParagraph"/>
      </w:pPr>
      <w:r>
        <w:t xml:space="preserve">Our primary audience comprises mid-to-senior level Academic Researchers at institutions like TUM, LMU, Max Planck Institutes, and Helmholtz Centers in Munich. They are:</w:t>
      </w:r>
    </w:p>
    <w:p>
      <w:pPr>
        <w:numPr>
          <w:ilvl w:val="0"/>
          <w:numId w:val="1002"/>
        </w:numPr>
        <w:pStyle w:val="Compact"/>
      </w:pPr>
      <w:r>
        <w:t xml:space="preserve">Typically 35-55 years old with 10+ years of experience</w:t>
      </w:r>
    </w:p>
    <w:p>
      <w:pPr>
        <w:numPr>
          <w:ilvl w:val="0"/>
          <w:numId w:val="1002"/>
        </w:numPr>
        <w:pStyle w:val="Compact"/>
      </w:pPr>
      <w:r>
        <w:t xml:space="preserve">Proficient in German (required for local grant bodies) but often needing English support for international collaborations</w:t>
      </w:r>
    </w:p>
    <w:p>
      <w:pPr>
        <w:numPr>
          <w:ilvl w:val="0"/>
          <w:numId w:val="1002"/>
        </w:numPr>
        <w:pStyle w:val="Compact"/>
      </w:pPr>
      <w:r>
        <w:t xml:space="preserve">Prioritizing high-impact publications, EU funding (Horizon Europe), and industry partnerships</w:t>
      </w:r>
    </w:p>
    <w:p>
      <w:pPr>
        <w:pStyle w:val="FirstParagraph"/>
      </w:pPr>
      <w:r>
        <w:t xml:space="preserve">This segment is highly skeptical of generic solutions. They require evidence-based support deeply integrated into Germany's research governance framework and Munich’s specific institutional structures.</w:t>
      </w:r>
    </w:p>
    <w:bookmarkEnd w:id="22"/>
    <w:bookmarkStart w:id="23" w:name="X56842690042ac364612bb02381dc920ea65a8ea"/>
    <w:p>
      <w:pPr>
        <w:pStyle w:val="Heading2"/>
      </w:pPr>
      <w:r>
        <w:t xml:space="preserve">Core Value Proposition for Munich Academic Researchers</w:t>
      </w:r>
    </w:p>
    <w:p>
      <w:pPr>
        <w:pStyle w:val="FirstParagraph"/>
      </w:pPr>
      <w:r>
        <w:t xml:space="preserve">We offer a Munich-optimized research acceleration platform with three pillars:</w:t>
      </w:r>
    </w:p>
    <w:p>
      <w:pPr>
        <w:numPr>
          <w:ilvl w:val="0"/>
          <w:numId w:val="1003"/>
        </w:numPr>
        <w:pStyle w:val="Compact"/>
      </w:pPr>
      <w:r>
        <w:rPr>
          <w:bCs/>
          <w:b/>
        </w:rPr>
        <w:t xml:space="preserve">Munich-Funded Grant Acceleration:</w:t>
      </w:r>
      <w:r>
        <w:t xml:space="preserve"> </w:t>
      </w:r>
      <w:r>
        <w:t xml:space="preserve">Dedicated support for DFG, BMBF, and Bavaria-specific grants (e.g., "Bavarian Research Alliance" programs), featuring German-language application templates and local evaluator insights.</w:t>
      </w:r>
    </w:p>
    <w:p>
      <w:pPr>
        <w:numPr>
          <w:ilvl w:val="0"/>
          <w:numId w:val="1003"/>
        </w:numPr>
        <w:pStyle w:val="Compact"/>
      </w:pPr>
      <w:r>
        <w:rPr>
          <w:bCs/>
          <w:b/>
        </w:rPr>
        <w:t xml:space="preserve">Industry-Academia Connector:</w:t>
      </w:r>
      <w:r>
        <w:t xml:space="preserve"> </w:t>
      </w:r>
      <w:r>
        <w:t xml:space="preserve">Curated matchmaking with Munich-based industry partners (Siemens, BMW i Ventures) for collaborative projects aligned with the Bavarian AI Initiative.</w:t>
      </w:r>
    </w:p>
    <w:p>
      <w:pPr>
        <w:numPr>
          <w:ilvl w:val="0"/>
          <w:numId w:val="1003"/>
        </w:numPr>
        <w:pStyle w:val="Compact"/>
      </w:pPr>
      <w:r>
        <w:rPr>
          <w:bCs/>
          <w:b/>
        </w:rPr>
        <w:t xml:space="preserve">Munich Community Hub:</w:t>
      </w:r>
      <w:r>
        <w:t xml:space="preserve"> </w:t>
      </w:r>
      <w:r>
        <w:t xml:space="preserve">Exclusive access to researcher networking events at venues like TUM Innovation Park, featuring panels with LMU research deans and Fraunhofer project leads.</w:t>
      </w:r>
    </w:p>
    <w:p>
      <w:pPr>
        <w:pStyle w:val="FirstParagraph"/>
      </w:pPr>
      <w:r>
        <w:t xml:space="preserve">This is not a generic service—it’s engineered for the Academic Researcher navigating Germany Munich’s unique bureaucratic and competitive environment.</w:t>
      </w:r>
    </w:p>
    <w:bookmarkEnd w:id="23"/>
    <w:bookmarkStart w:id="27" w:name="Xf9546ff6525755d60c16c6c23c9e842db63cd2d"/>
    <w:p>
      <w:pPr>
        <w:pStyle w:val="Heading2"/>
      </w:pPr>
      <w:r>
        <w:t xml:space="preserve">Marketing Strategy &amp; Tactics (Germany Munich Focused)</w:t>
      </w:r>
    </w:p>
    <w:p>
      <w:pPr>
        <w:pStyle w:val="FirstParagraph"/>
      </w:pPr>
      <w:r>
        <w:t xml:space="preserve">Our strategy employs hyper-localized tactics to build trust with Academic Researchers in Germany Munich:</w:t>
      </w:r>
    </w:p>
    <w:bookmarkStart w:id="24" w:name="digital-presence-with-local-relevance"/>
    <w:p>
      <w:pPr>
        <w:pStyle w:val="Heading3"/>
      </w:pPr>
      <w:r>
        <w:t xml:space="preserve">1. Digital Presence with Local Relevance</w:t>
      </w:r>
    </w:p>
    <w:p>
      <w:pPr>
        <w:numPr>
          <w:ilvl w:val="0"/>
          <w:numId w:val="1004"/>
        </w:numPr>
        <w:pStyle w:val="Compact"/>
      </w:pPr>
      <w:r>
        <w:rPr>
          <w:bCs/>
          <w:b/>
        </w:rPr>
        <w:t xml:space="preserve">Munich-Specific Content:</w:t>
      </w:r>
      <w:r>
        <w:t xml:space="preserve"> </w:t>
      </w:r>
      <w:r>
        <w:t xml:space="preserve">Blog series "Navigating Bavarian Research Funding" featuring interviews with DFG Munich office directors.</w:t>
      </w:r>
    </w:p>
    <w:p>
      <w:pPr>
        <w:numPr>
          <w:ilvl w:val="0"/>
          <w:numId w:val="1004"/>
        </w:numPr>
        <w:pStyle w:val="Compact"/>
      </w:pPr>
      <w:r>
        <w:rPr>
          <w:bCs/>
          <w:b/>
        </w:rPr>
        <w:t xml:space="preserve">Geo-Targeted SEO:</w:t>
      </w:r>
      <w:r>
        <w:t xml:space="preserve"> </w:t>
      </w:r>
      <w:r>
        <w:t xml:space="preserve">Keywords like "Academic Researcher funding support Munich," "DFG grant help Germany" optimized for local search intent.</w:t>
      </w:r>
    </w:p>
    <w:bookmarkEnd w:id="24"/>
    <w:bookmarkStart w:id="25" w:name="on-ground-activation-in-munich"/>
    <w:p>
      <w:pPr>
        <w:pStyle w:val="Heading3"/>
      </w:pPr>
      <w:r>
        <w:t xml:space="preserve">2. On-Ground Activation in Munich</w:t>
      </w:r>
    </w:p>
    <w:p>
      <w:pPr>
        <w:numPr>
          <w:ilvl w:val="0"/>
          <w:numId w:val="1005"/>
        </w:numPr>
        <w:pStyle w:val="Compact"/>
      </w:pPr>
      <w:r>
        <w:rPr>
          <w:bCs/>
          <w:b/>
        </w:rPr>
        <w:t xml:space="preserve">Quarterly TUM/LMU Workshops:</w:t>
      </w:r>
      <w:r>
        <w:t xml:space="preserve"> </w:t>
      </w:r>
      <w:r>
        <w:t xml:space="preserve">Hosted at university facilities (e.g., TUM Campus Garching) covering "Horizon Europe 2025: Munich-Specific Strategies."</w:t>
      </w:r>
    </w:p>
    <w:p>
      <w:pPr>
        <w:numPr>
          <w:ilvl w:val="0"/>
          <w:numId w:val="1005"/>
        </w:numPr>
        <w:pStyle w:val="Compact"/>
      </w:pPr>
      <w:r>
        <w:rPr>
          <w:bCs/>
          <w:b/>
        </w:rPr>
        <w:t xml:space="preserve">Munich Researcher Mixer Series:</w:t>
      </w:r>
      <w:r>
        <w:t xml:space="preserve"> </w:t>
      </w:r>
      <w:r>
        <w:t xml:space="preserve">Exclusive after-work events at venues like the Munich Innovation Lab, featuring local research leaders.</w:t>
      </w:r>
    </w:p>
    <w:bookmarkEnd w:id="25"/>
    <w:bookmarkStart w:id="26" w:name="strategic-partnerships"/>
    <w:p>
      <w:pPr>
        <w:pStyle w:val="Heading3"/>
      </w:pPr>
      <w:r>
        <w:t xml:space="preserve">3. Strategic Partnerships</w:t>
      </w:r>
    </w:p>
    <w:p>
      <w:pPr>
        <w:numPr>
          <w:ilvl w:val="0"/>
          <w:numId w:val="1006"/>
        </w:numPr>
        <w:pStyle w:val="Compact"/>
      </w:pPr>
      <w:r>
        <w:rPr>
          <w:bCs/>
          <w:b/>
        </w:rPr>
        <w:t xml:space="preserve">Institutional Alliances:</w:t>
      </w:r>
      <w:r>
        <w:t xml:space="preserve"> </w:t>
      </w:r>
      <w:r>
        <w:t xml:space="preserve">Formal partnerships with TUM Research Office and LMU Scientific Services for co-branded grant workshops.</w:t>
      </w:r>
    </w:p>
    <w:p>
      <w:pPr>
        <w:numPr>
          <w:ilvl w:val="0"/>
          <w:numId w:val="1006"/>
        </w:numPr>
        <w:pStyle w:val="Compact"/>
      </w:pPr>
      <w:r>
        <w:rPr>
          <w:bCs/>
          <w:b/>
        </w:rPr>
        <w:t xml:space="preserve">Industry Co-Creation:</w:t>
      </w:r>
      <w:r>
        <w:t xml:space="preserve"> </w:t>
      </w:r>
      <w:r>
        <w:t xml:space="preserve">Collaborate with Siemens Healthineers Munich on joint "Medical Research Accelerator" programs for Academic Researchers.</w:t>
      </w:r>
    </w:p>
    <w:bookmarkEnd w:id="26"/>
    <w:bookmarkEnd w:id="27"/>
    <w:bookmarkStart w:id="28" w:name="X6393843ffc826c53805769f1a17cea28e36f90c"/>
    <w:p>
      <w:pPr>
        <w:pStyle w:val="Heading2"/>
      </w:pPr>
      <w:r>
        <w:t xml:space="preserve">Implementation Timeline (Germany Munich Focus)</w:t>
      </w:r>
    </w:p>
    <w:p>
      <w:pPr>
        <w:pStyle w:val="FirstParagraph"/>
      </w:pPr>
      <w:r>
        <w:rPr>
          <w:bCs/>
          <w:b/>
        </w:rPr>
        <w:t xml:space="preserve">Q1 2024:</w:t>
      </w:r>
      <w:r>
        <w:t xml:space="preserve"> </w:t>
      </w:r>
      <w:r>
        <w:t xml:space="preserve">Launch Munich-specific website microsite + partner agreements with TUM/LMU. Target: 500 registered researchers.</w:t>
      </w:r>
    </w:p>
    <w:p>
      <w:pPr>
        <w:pStyle w:val="BodyText"/>
      </w:pPr>
      <w:r>
        <w:rPr>
          <w:bCs/>
          <w:b/>
        </w:rPr>
        <w:t xml:space="preserve">Q3 2024:</w:t>
      </w:r>
      <w:r>
        <w:t xml:space="preserve"> </w:t>
      </w:r>
      <w:r>
        <w:t xml:space="preserve">Host first "Munich Research Funding Summit" at Helmholtz Center Munich. Target: 150 attendees, including key DFG representatives.</w:t>
      </w:r>
    </w:p>
    <w:p>
      <w:pPr>
        <w:pStyle w:val="BodyText"/>
      </w:pPr>
      <w:r>
        <w:rPr>
          <w:bCs/>
          <w:b/>
        </w:rPr>
        <w:t xml:space="preserve">Q1 2025:</w:t>
      </w:r>
      <w:r>
        <w:t xml:space="preserve"> </w:t>
      </w:r>
      <w:r>
        <w:t xml:space="preserve">Roll out industry partnership program with BMW Group Munich. Target: 30 successful researcher-industry matchings.</w:t>
      </w:r>
    </w:p>
    <w:bookmarkEnd w:id="28"/>
    <w:bookmarkStart w:id="29" w:name="key-performance-indicators-kpis"/>
    <w:p>
      <w:pPr>
        <w:pStyle w:val="Heading2"/>
      </w:pPr>
      <w:r>
        <w:t xml:space="preserve">Key Performance Indicators (KPIs)</w:t>
      </w:r>
    </w:p>
    <w:p>
      <w:pPr>
        <w:numPr>
          <w:ilvl w:val="0"/>
          <w:numId w:val="1007"/>
        </w:numPr>
        <w:pStyle w:val="Compact"/>
      </w:pPr>
      <w:r>
        <w:rPr>
          <w:bCs/>
          <w:b/>
        </w:rPr>
        <w:t xml:space="preserve">Munich Adoption Rate:</w:t>
      </w:r>
      <w:r>
        <w:t xml:space="preserve"> </w:t>
      </w:r>
      <w:r>
        <w:t xml:space="preserve">35% market penetration among target Academic Researchers in Munich institutions by Q4 2025</w:t>
      </w:r>
    </w:p>
    <w:p>
      <w:pPr>
        <w:numPr>
          <w:ilvl w:val="0"/>
          <w:numId w:val="1007"/>
        </w:numPr>
        <w:pStyle w:val="Compact"/>
      </w:pPr>
      <w:r>
        <w:rPr>
          <w:bCs/>
          <w:b/>
        </w:rPr>
        <w:t xml:space="preserve">Funding Success Rate:</w:t>
      </w:r>
      <w:r>
        <w:t xml:space="preserve"> </w:t>
      </w:r>
      <w:r>
        <w:t xml:space="preserve">Achieve 65% higher grant success rate for clients vs. industry average (DFG benchmark)</w:t>
      </w:r>
    </w:p>
    <w:p>
      <w:pPr>
        <w:numPr>
          <w:ilvl w:val="0"/>
          <w:numId w:val="1007"/>
        </w:numPr>
        <w:pStyle w:val="Compact"/>
      </w:pPr>
      <w:r>
        <w:rPr>
          <w:bCs/>
          <w:b/>
        </w:rPr>
        <w:t xml:space="preserve">Local Engagement:</w:t>
      </w:r>
      <w:r>
        <w:t xml:space="preserve"> </w:t>
      </w:r>
      <w:r>
        <w:t xml:space="preserve">Host 8+ Munich-specific events annually with ≥80% researcher attendance rate</w:t>
      </w:r>
    </w:p>
    <w:p>
      <w:pPr>
        <w:numPr>
          <w:ilvl w:val="0"/>
          <w:numId w:val="1007"/>
        </w:numPr>
        <w:pStyle w:val="Compact"/>
      </w:pPr>
      <w:r>
        <w:rPr>
          <w:bCs/>
          <w:b/>
        </w:rPr>
        <w:t xml:space="preserve">National Recognition:</w:t>
      </w:r>
      <w:r>
        <w:t xml:space="preserve"> </w:t>
      </w:r>
      <w:r>
        <w:t xml:space="preserve">Secure featured partnership with Bavarian Ministry of Science for research policy initiatives by 2025</w:t>
      </w:r>
    </w:p>
    <w:bookmarkEnd w:id="29"/>
    <w:bookmarkStart w:id="30" w:name="X296f60495486f803e827576e152d3a2b16c0b4f"/>
    <w:p>
      <w:pPr>
        <w:pStyle w:val="Heading2"/>
      </w:pPr>
      <w:r>
        <w:t xml:space="preserve">Why This Plan Works for Germany Munich Academic Researchers</w:t>
      </w:r>
    </w:p>
    <w:p>
      <w:pPr>
        <w:pStyle w:val="FirstParagraph"/>
      </w:pPr>
      <w:r>
        <w:t xml:space="preserve">This Marketing Plan transcends generic approaches by embedding itself within Munich’s research identity. Unlike national services, we address the specific friction points of operating in Germany’s most research-intensive city: DFG bureaucracy nuances, Bavarian funding cycles, and the unique collaborative culture at TUM versus LMU. Our strategy respects that Academic Researchers in Munich require solutions not just *in* Germany but *for* Munich’s ecosystem. By positioning ourselves as the institutional ally within this community—through localized events, language-sensitive support, and partnerships with Munich’s power players—we establish irreplaceable value for every Academic Researcher navigating Germany's highest-stakes research environment.</w:t>
      </w:r>
    </w:p>
    <w:bookmarkEnd w:id="30"/>
    <w:bookmarkStart w:id="31" w:name="conclusion"/>
    <w:p>
      <w:pPr>
        <w:pStyle w:val="Heading2"/>
      </w:pPr>
      <w:r>
        <w:t xml:space="preserve">Conclusion</w:t>
      </w:r>
    </w:p>
    <w:p>
      <w:pPr>
        <w:pStyle w:val="FirstParagraph"/>
      </w:pPr>
      <w:r>
        <w:t xml:space="preserve">The Marketing Plan presented here is not merely a service offering—it is a strategic entry into the core of Germany Munich’s academic innovation engine. By focusing relentlessly on the needs of the Academic Researcher within Munich’s institutional framework, we create sustainable growth while directly supporting Bavaria's vision as Europe's leading research hub. This plan delivers measurable impact for both our clients and Munich’s broader scientific community, making it essential for any organization seeking to thrive in this elite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Services in Germany Munich</dc:title>
  <dc:creator/>
  <dc:language>en</dc:language>
  <cp:keywords/>
  <dcterms:created xsi:type="dcterms:W3CDTF">2026-07-23T12:10:29Z</dcterms:created>
  <dcterms:modified xsi:type="dcterms:W3CDTF">2026-07-23T12:10:29Z</dcterms:modified>
</cp:coreProperties>
</file>

<file path=docProps/custom.xml><?xml version="1.0" encoding="utf-8"?>
<Properties xmlns="http://schemas.openxmlformats.org/officeDocument/2006/custom-properties" xmlns:vt="http://schemas.openxmlformats.org/officeDocument/2006/docPropsVTypes"/>
</file>