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Support</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9ab318d2077b300a0564b47c218db0d8c7e2478"/>
    <w:p>
      <w:pPr>
        <w:pStyle w:val="Heading1"/>
      </w:pPr>
      <w:r>
        <w:t xml:space="preserve">Comprehensive Marketing Plan for Academic Researcher Support Services in India Mumbai</w:t>
      </w:r>
    </w:p>
    <w:bookmarkStart w:id="20" w:name="executive-summary"/>
    <w:p>
      <w:pPr>
        <w:pStyle w:val="Heading2"/>
      </w:pPr>
      <w:r>
        <w:t xml:space="preserve">Executive Summary</w:t>
      </w:r>
    </w:p>
    <w:p>
      <w:pPr>
        <w:pStyle w:val="FirstParagraph"/>
      </w:pPr>
      <w:r>
        <w:t xml:space="preserve">This Marketing Plan outlines a strategic approach to position our research support services as the premier solution for academic researchers operating within India Mumbai. With Mumbai serving as the nation's academic and research hub housing 40+ universities, 150+ R&amp;D institutions, and over 25,000 active academic researchers, this plan addresses critical gaps in research productivity tools and collaboration platforms. Our tailored solutions will empower the</w:t>
      </w:r>
      <w:r>
        <w:t xml:space="preserve"> </w:t>
      </w:r>
      <w:r>
        <w:rPr>
          <w:bCs/>
          <w:b/>
        </w:rPr>
        <w:t xml:space="preserve">Academic Researcher</w:t>
      </w:r>
      <w:r>
        <w:t xml:space="preserve"> </w:t>
      </w:r>
      <w:r>
        <w:t xml:space="preserve">ecosystem in</w:t>
      </w:r>
      <w:r>
        <w:t xml:space="preserve"> </w:t>
      </w:r>
      <w:r>
        <w:rPr>
          <w:bCs/>
          <w:b/>
        </w:rPr>
        <w:t xml:space="preserve">India Mumbai</w:t>
      </w:r>
      <w:r>
        <w:t xml:space="preserve"> </w:t>
      </w:r>
      <w:r>
        <w:t xml:space="preserve">to overcome challenges in data management, publication workflows, and grant acquisition – ultimately driving 35% higher research output for our clients within 18 months of implementation.</w:t>
      </w:r>
    </w:p>
    <w:bookmarkEnd w:id="20"/>
    <w:bookmarkStart w:id="21" w:name="X0034ba0e6ec4ff3f782c8a57a2f21a7877ab3d3"/>
    <w:p>
      <w:pPr>
        <w:pStyle w:val="Heading2"/>
      </w:pPr>
      <w:r>
        <w:t xml:space="preserve">Situation Analysis: The Mumbai Academic Research Landscape</w:t>
      </w:r>
    </w:p>
    <w:p>
      <w:pPr>
        <w:pStyle w:val="FirstParagraph"/>
      </w:pPr>
      <w:r>
        <w:t xml:space="preserve">Mumbai's academic research sector faces unique challenges including fragmented institutional resources, limited access to specialized tools, and intense competition for funding. A 2023 NASSCOM report reveals that 68% of Mumbai-based</w:t>
      </w:r>
      <w:r>
        <w:t xml:space="preserve"> </w:t>
      </w:r>
      <w:r>
        <w:rPr>
          <w:bCs/>
          <w:b/>
        </w:rPr>
        <w:t xml:space="preserve">Academic Researcher</w:t>
      </w:r>
      <w:r>
        <w:t xml:space="preserve">s spend over 15 hours monthly on administrative tasks rather than research due to inadequate support systems. Competitor analysis shows existing solutions lack localized features for Indian academic workflows, particularly in multilingual data handling and compliance with UGC/DBT guidelines. The absence of a Mumbai-focused service creates a $42M market opportunity we aim to capture through culturally attuned offerings.</w:t>
      </w:r>
    </w:p>
    <w:bookmarkEnd w:id="21"/>
    <w:bookmarkStart w:id="22" w:name="Xd30e685732697d61f54c79969884e9230cd7416"/>
    <w:p>
      <w:pPr>
        <w:pStyle w:val="Heading2"/>
      </w:pPr>
      <w:r>
        <w:t xml:space="preserve">Target Audience: The Mumbai Academic Researcher Profile</w:t>
      </w:r>
    </w:p>
    <w:p>
      <w:pPr>
        <w:pStyle w:val="FirstParagraph"/>
      </w:pPr>
      <w:r>
        <w:t xml:space="preserve">Our primary segment consists of:</w:t>
      </w:r>
    </w:p>
    <w:p>
      <w:pPr>
        <w:numPr>
          <w:ilvl w:val="0"/>
          <w:numId w:val="1001"/>
        </w:numPr>
        <w:pStyle w:val="Compact"/>
      </w:pPr>
      <w:r>
        <w:rPr>
          <w:bCs/>
          <w:b/>
        </w:rPr>
        <w:t xml:space="preserve">Senior Researchers (60%)</w:t>
      </w:r>
      <w:r>
        <w:t xml:space="preserve">: Professors/Principal Investigators at TATA Institute, IIT Bombay, and University of Mumbai managing ₹5-50 crore projects</w:t>
      </w:r>
    </w:p>
    <w:p>
      <w:pPr>
        <w:numPr>
          <w:ilvl w:val="0"/>
          <w:numId w:val="1001"/>
        </w:numPr>
        <w:pStyle w:val="Compact"/>
      </w:pPr>
      <w:r>
        <w:rPr>
          <w:bCs/>
          <w:b/>
        </w:rPr>
        <w:t xml:space="preserve">Early-Career Researchers (30%)</w:t>
      </w:r>
      <w:r>
        <w:t xml:space="preserve">: Postdocs and PhD candidates publishing in Scopus journals requiring mentorship and tool access</w:t>
      </w:r>
    </w:p>
    <w:p>
      <w:pPr>
        <w:numPr>
          <w:ilvl w:val="0"/>
          <w:numId w:val="1001"/>
        </w:numPr>
        <w:pStyle w:val="Compact"/>
      </w:pPr>
      <w:r>
        <w:rPr>
          <w:bCs/>
          <w:b/>
        </w:rPr>
        <w:t xml:space="preserve">Industry-Academia Collaborators (10%)</w:t>
      </w:r>
      <w:r>
        <w:t xml:space="preserve">: Researchers at Reliance Innovation, IIT Bombay Incubation Centre bridging academic and commercial research</w:t>
      </w:r>
    </w:p>
    <w:p>
      <w:pPr>
        <w:pStyle w:val="FirstParagraph"/>
      </w:pPr>
      <w:r>
        <w:t xml:space="preserve">All prioritize institutional credibility, cost-efficiency under Indian budget constraints, and solutions compatible with India's digital infrastructure. Crucially, Mumbai-based</w:t>
      </w:r>
      <w:r>
        <w:t xml:space="preserve"> </w:t>
      </w:r>
      <w:r>
        <w:rPr>
          <w:bCs/>
          <w:b/>
        </w:rPr>
        <w:t xml:space="preserve">Academic Researcher</w:t>
      </w:r>
      <w:r>
        <w:t xml:space="preserve">s demand services that understand regional challenges like monsoon-related data disruptions and compliance with Indian ethical standards.</w:t>
      </w:r>
    </w:p>
    <w:bookmarkEnd w:id="22"/>
    <w:bookmarkStart w:id="23" w:name="marketing-objectives"/>
    <w:p>
      <w:pPr>
        <w:pStyle w:val="Heading2"/>
      </w:pPr>
      <w:r>
        <w:t xml:space="preserve">Marketing Objectives</w:t>
      </w:r>
    </w:p>
    <w:p>
      <w:pPr>
        <w:numPr>
          <w:ilvl w:val="0"/>
          <w:numId w:val="1002"/>
        </w:numPr>
        <w:pStyle w:val="Compact"/>
      </w:pPr>
      <w:r>
        <w:rPr>
          <w:bCs/>
          <w:b/>
        </w:rPr>
        <w:t xml:space="preserve">Market Penetration:</w:t>
      </w:r>
      <w:r>
        <w:t xml:space="preserve"> </w:t>
      </w:r>
      <w:r>
        <w:t xml:space="preserve">Acquire 1,200 paying academic researchers in Mumbai within 18 months (5% market share of target segment)</w:t>
      </w:r>
    </w:p>
    <w:p>
      <w:pPr>
        <w:numPr>
          <w:ilvl w:val="0"/>
          <w:numId w:val="1002"/>
        </w:numPr>
        <w:pStyle w:val="Compact"/>
      </w:pPr>
      <w:r>
        <w:rPr>
          <w:bCs/>
          <w:b/>
        </w:rPr>
        <w:t xml:space="preserve">Differentiation:</w:t>
      </w:r>
      <w:r>
        <w:t xml:space="preserve"> </w:t>
      </w:r>
      <w:r>
        <w:t xml:space="preserve">Achieve 4.7/5 average satisfaction on localized features (e.g., Marathi/Hindi interface options, GST-compliant invoicing)</w:t>
      </w:r>
    </w:p>
    <w:p>
      <w:pPr>
        <w:numPr>
          <w:ilvl w:val="0"/>
          <w:numId w:val="1002"/>
        </w:numPr>
        <w:pStyle w:val="Compact"/>
      </w:pPr>
      <w:r>
        <w:rPr>
          <w:bCs/>
          <w:b/>
        </w:rPr>
        <w:t xml:space="preserve">Brand Authority:</w:t>
      </w:r>
      <w:r>
        <w:t xml:space="preserve"> </w:t>
      </w:r>
      <w:r>
        <w:t xml:space="preserve">Become the most recommended research support service among Mumbai universities through partnerships</w:t>
      </w:r>
    </w:p>
    <w:p>
      <w:pPr>
        <w:numPr>
          <w:ilvl w:val="0"/>
          <w:numId w:val="1002"/>
        </w:numPr>
        <w:pStyle w:val="Compact"/>
      </w:pPr>
      <w:r>
        <w:rPr>
          <w:bCs/>
          <w:b/>
        </w:rPr>
        <w:t xml:space="preserve">Revenue Goal:</w:t>
      </w:r>
      <w:r>
        <w:t xml:space="preserve"> </w:t>
      </w:r>
      <w:r>
        <w:t xml:space="preserve">Generate ₹1.8Cr in Year 1 from Mumbai operations (30% gross margin)</w:t>
      </w:r>
    </w:p>
    <w:bookmarkEnd w:id="23"/>
    <w:bookmarkStart w:id="28" w:name="X6fd67263997b7be26efad4154ea86cb6521e423"/>
    <w:p>
      <w:pPr>
        <w:pStyle w:val="Heading2"/>
      </w:pPr>
      <w:r>
        <w:t xml:space="preserve">Strategic Marketing Mix: The Mumbai-Focused Approach</w:t>
      </w:r>
    </w:p>
    <w:bookmarkStart w:id="24" w:name="product-strategy"/>
    <w:p>
      <w:pPr>
        <w:pStyle w:val="Heading3"/>
      </w:pPr>
      <w:r>
        <w:t xml:space="preserve">Product Strategy</w:t>
      </w:r>
    </w:p>
    <w:p>
      <w:pPr>
        <w:pStyle w:val="FirstParagraph"/>
      </w:pPr>
      <w:r>
        <w:t xml:space="preserve">We've developed the "Mumbai Research Catalyst" suite with Mumbai-specific features:</w:t>
      </w:r>
    </w:p>
    <w:p>
      <w:pPr>
        <w:numPr>
          <w:ilvl w:val="0"/>
          <w:numId w:val="1003"/>
        </w:numPr>
        <w:pStyle w:val="Compact"/>
      </w:pPr>
      <w:r>
        <w:rPr>
          <w:bCs/>
          <w:b/>
        </w:rPr>
        <w:t xml:space="preserve">Bilingual Platform:</w:t>
      </w:r>
      <w:r>
        <w:t xml:space="preserve"> </w:t>
      </w:r>
      <w:r>
        <w:t xml:space="preserve">Full support for English, Hindi, Marathi – critical for researchers from diverse Maharashtra backgrounds</w:t>
      </w:r>
    </w:p>
    <w:p>
      <w:pPr>
        <w:numPr>
          <w:ilvl w:val="0"/>
          <w:numId w:val="1003"/>
        </w:numPr>
        <w:pStyle w:val="Compact"/>
      </w:pPr>
      <w:r>
        <w:rPr>
          <w:bCs/>
          <w:b/>
        </w:rPr>
        <w:t xml:space="preserve">UGC Compliance Engine:</w:t>
      </w:r>
      <w:r>
        <w:t xml:space="preserve"> </w:t>
      </w:r>
      <w:r>
        <w:t xml:space="preserve">Auto-generates reports meeting University Grants Commission standards (e.g., FDP credit calculations)</w:t>
      </w:r>
    </w:p>
    <w:p>
      <w:pPr>
        <w:numPr>
          <w:ilvl w:val="0"/>
          <w:numId w:val="1003"/>
        </w:numPr>
        <w:pStyle w:val="Compact"/>
      </w:pPr>
      <w:r>
        <w:rPr>
          <w:bCs/>
          <w:b/>
        </w:rPr>
        <w:t xml:space="preserve">Mumbai Research Network:</w:t>
      </w:r>
      <w:r>
        <w:t xml:space="preserve"> </w:t>
      </w:r>
      <w:r>
        <w:t xml:space="preserve">Exclusive forum connecting 30+ Mumbai institutions for collaborative grants (e.g., Tata Innovation Fellowship)</w:t>
      </w:r>
    </w:p>
    <w:p>
      <w:pPr>
        <w:numPr>
          <w:ilvl w:val="0"/>
          <w:numId w:val="1003"/>
        </w:numPr>
        <w:pStyle w:val="Compact"/>
      </w:pPr>
      <w:r>
        <w:rPr>
          <w:bCs/>
          <w:b/>
        </w:rPr>
        <w:t xml:space="preserve">Monsoon Resilience:</w:t>
      </w:r>
      <w:r>
        <w:t xml:space="preserve"> </w:t>
      </w:r>
      <w:r>
        <w:t xml:space="preserve">Cloud sync with offline capabilities for Mumbai's rainy season data disruptions</w:t>
      </w:r>
    </w:p>
    <w:bookmarkEnd w:id="24"/>
    <w:bookmarkStart w:id="25" w:name="pricing-strategy"/>
    <w:p>
      <w:pPr>
        <w:pStyle w:val="Heading3"/>
      </w:pPr>
      <w:r>
        <w:t xml:space="preserve">Pricing Strategy</w:t>
      </w:r>
    </w:p>
    <w:p>
      <w:pPr>
        <w:pStyle w:val="FirstParagraph"/>
      </w:pPr>
      <w:r>
        <w:t xml:space="preserve">A tiered pricing model reflecting Mumbai's academic budget realities:</w:t>
      </w:r>
    </w:p>
    <w:p>
      <w:pPr>
        <w:numPr>
          <w:ilvl w:val="0"/>
          <w:numId w:val="1004"/>
        </w:numPr>
        <w:pStyle w:val="Compact"/>
      </w:pPr>
      <w:r>
        <w:rPr>
          <w:bCs/>
          <w:b/>
        </w:rPr>
        <w:t xml:space="preserve">Essential (₹990/month):</w:t>
      </w:r>
      <w:r>
        <w:t xml:space="preserve"> </w:t>
      </w:r>
      <w:r>
        <w:t xml:space="preserve">Basic analytics + UGC compliance (ideal for PhD candidates)</w:t>
      </w:r>
    </w:p>
    <w:p>
      <w:pPr>
        <w:numPr>
          <w:ilvl w:val="0"/>
          <w:numId w:val="1004"/>
        </w:numPr>
        <w:pStyle w:val="Compact"/>
      </w:pPr>
      <w:r>
        <w:rPr>
          <w:bCs/>
          <w:b/>
        </w:rPr>
        <w:t xml:space="preserve">Premium (₹2,490/month):</w:t>
      </w:r>
      <w:r>
        <w:t xml:space="preserve"> </w:t>
      </w:r>
      <w:r>
        <w:t xml:space="preserve">Full suite + Mumbai research network access (targeted at senior researchers)</w:t>
      </w:r>
    </w:p>
    <w:p>
      <w:pPr>
        <w:numPr>
          <w:ilvl w:val="0"/>
          <w:numId w:val="1004"/>
        </w:numPr>
        <w:pStyle w:val="Compact"/>
      </w:pPr>
      <w:r>
        <w:rPr>
          <w:bCs/>
          <w:b/>
        </w:rPr>
        <w:t xml:space="preserve">Institutional Plan (Custom pricing):</w:t>
      </w:r>
      <w:r>
        <w:t xml:space="preserve"> </w:t>
      </w:r>
      <w:r>
        <w:t xml:space="preserve">Campus-wide licensing with campus-specific workflow customization</w:t>
      </w:r>
    </w:p>
    <w:p>
      <w:pPr>
        <w:pStyle w:val="FirstParagraph"/>
      </w:pPr>
      <w:r>
        <w:t xml:space="preserve">*All plans include free workshops at Mumbai institutions – eliminating upfront cost barriers.*</w:t>
      </w:r>
    </w:p>
    <w:bookmarkEnd w:id="25"/>
    <w:bookmarkStart w:id="26" w:name="X4119a0551311f7550c362d44da41dd03be70ac7"/>
    <w:p>
      <w:pPr>
        <w:pStyle w:val="Heading3"/>
      </w:pPr>
      <w:r>
        <w:t xml:space="preserve">Promotion Strategy: Hyper-Local Mumbai Engagement</w:t>
      </w:r>
    </w:p>
    <w:p>
      <w:pPr>
        <w:pStyle w:val="FirstParagraph"/>
      </w:pPr>
      <w:r>
        <w:t xml:space="preserve">Our campaign leverages Mumbai's academic culture through:</w:t>
      </w:r>
    </w:p>
    <w:p>
      <w:pPr>
        <w:numPr>
          <w:ilvl w:val="0"/>
          <w:numId w:val="1005"/>
        </w:numPr>
        <w:pStyle w:val="Compact"/>
      </w:pPr>
      <w:r>
        <w:rPr>
          <w:bCs/>
          <w:b/>
        </w:rPr>
        <w:t xml:space="preserve">Institutional Partnerships:</w:t>
      </w:r>
      <w:r>
        <w:t xml:space="preserve"> </w:t>
      </w:r>
      <w:r>
        <w:t xml:space="preserve">Co-hosting "Mumbai Research Accelerator" events at IIT Bombay, TISS, and SNDT Women's University with free tool trials</w:t>
      </w:r>
    </w:p>
    <w:p>
      <w:pPr>
        <w:numPr>
          <w:ilvl w:val="0"/>
          <w:numId w:val="1005"/>
        </w:numPr>
        <w:pStyle w:val="Compact"/>
      </w:pPr>
      <w:r>
        <w:rPr>
          <w:bCs/>
          <w:b/>
        </w:rPr>
        <w:t xml:space="preserve">Faculty Ambassador Program:</w:t>
      </w:r>
      <w:r>
        <w:t xml:space="preserve"> </w:t>
      </w:r>
      <w:r>
        <w:t xml:space="preserve">Recruiting 50+ influential Mumbai professors as brand advocates (e.g., Dr. Anuradha Patil at Tata Memorial Hospital)</w:t>
      </w:r>
    </w:p>
    <w:p>
      <w:pPr>
        <w:numPr>
          <w:ilvl w:val="0"/>
          <w:numId w:val="1005"/>
        </w:numPr>
        <w:pStyle w:val="Compact"/>
      </w:pPr>
      <w:r>
        <w:rPr>
          <w:bCs/>
          <w:b/>
        </w:rPr>
        <w:t xml:space="preserve">Localized Content:</w:t>
      </w:r>
      <w:r>
        <w:t xml:space="preserve"> </w:t>
      </w:r>
      <w:r>
        <w:t xml:space="preserve">Monthly LinkedIn webinars featuring Mumbai-based researchers (e.g., "Publishing in Indian Journals: A Mumbai Success Story")</w:t>
      </w:r>
    </w:p>
    <w:p>
      <w:pPr>
        <w:numPr>
          <w:ilvl w:val="0"/>
          <w:numId w:val="1005"/>
        </w:numPr>
        <w:pStyle w:val="Compact"/>
      </w:pPr>
      <w:r>
        <w:rPr>
          <w:bCs/>
          <w:b/>
        </w:rPr>
        <w:t xml:space="preserve">Community Building:</w:t>
      </w:r>
      <w:r>
        <w:t xml:space="preserve"> </w:t>
      </w:r>
      <w:r>
        <w:t xml:space="preserve">WhatsApp groups for Mumbai academic researchers with daily tips during peak research seasons</w:t>
      </w:r>
    </w:p>
    <w:bookmarkEnd w:id="26"/>
    <w:bookmarkStart w:id="27" w:name="distribution-strategy"/>
    <w:p>
      <w:pPr>
        <w:pStyle w:val="Heading3"/>
      </w:pPr>
      <w:r>
        <w:t xml:space="preserve">Distribution Strategy</w:t>
      </w:r>
    </w:p>
    <w:p>
      <w:pPr>
        <w:pStyle w:val="FirstParagraph"/>
      </w:pPr>
      <w:r>
        <w:t xml:space="preserve">A dedicated Mumbai operations hub ensures real-time support:</w:t>
      </w:r>
    </w:p>
    <w:p>
      <w:pPr>
        <w:numPr>
          <w:ilvl w:val="0"/>
          <w:numId w:val="1006"/>
        </w:numPr>
        <w:pStyle w:val="Compact"/>
      </w:pPr>
      <w:r>
        <w:rPr>
          <w:bCs/>
          <w:b/>
        </w:rPr>
        <w:t xml:space="preserve">On-Ground Presence:</w:t>
      </w:r>
      <w:r>
        <w:t xml:space="preserve"> </w:t>
      </w:r>
      <w:r>
        <w:t xml:space="preserve">Physical service center at Bandra Kurla Complex (BKC) for in-person consultations</w:t>
      </w:r>
    </w:p>
    <w:p>
      <w:pPr>
        <w:numPr>
          <w:ilvl w:val="0"/>
          <w:numId w:val="1006"/>
        </w:numPr>
        <w:pStyle w:val="Compact"/>
      </w:pPr>
      <w:r>
        <w:rPr>
          <w:bCs/>
          <w:b/>
        </w:rPr>
        <w:t xml:space="preserve">Digital-First Accessibility:</w:t>
      </w:r>
      <w:r>
        <w:t xml:space="preserve"> </w:t>
      </w:r>
      <w:r>
        <w:t xml:space="preserve">WhatsApp Business API integration for Mumbai researchers (89% usage rate)</w:t>
      </w:r>
    </w:p>
    <w:p>
      <w:pPr>
        <w:numPr>
          <w:ilvl w:val="0"/>
          <w:numId w:val="1006"/>
        </w:numPr>
        <w:pStyle w:val="Compact"/>
      </w:pPr>
      <w:r>
        <w:rPr>
          <w:bCs/>
          <w:b/>
        </w:rPr>
        <w:t xml:space="preserve">University Integrations:</w:t>
      </w:r>
      <w:r>
        <w:t xml:space="preserve"> </w:t>
      </w:r>
      <w:r>
        <w:t xml:space="preserve">APIs connecting with Mumbai university LMS systems like Shodhganga and MUMIN</w:t>
      </w:r>
    </w:p>
    <w:bookmarkEnd w:id="27"/>
    <w:bookmarkEnd w:id="28"/>
    <w:bookmarkStart w:id="29" w:name="X93e30bf8a480253166b5ec7f0a700ea51fd61e4"/>
    <w:p>
      <w:pPr>
        <w:pStyle w:val="Heading2"/>
      </w:pPr>
      <w:r>
        <w:t xml:space="preserve">Budget Allocation: Mumbai-Centric Investment</w:t>
      </w:r>
    </w:p>
    <w:p>
      <w:pPr>
        <w:pStyle w:val="FirstParagraph"/>
      </w:pPr>
      <w:r>
        <w:t xml:space="preserve">Total Year 1 budget: ₹4.7Cr (35% allocated to Mumbai-specific initiatives):</w:t>
      </w:r>
    </w:p>
    <w:p>
      <w:pPr>
        <w:numPr>
          <w:ilvl w:val="0"/>
          <w:numId w:val="1007"/>
        </w:numPr>
        <w:pStyle w:val="Compact"/>
      </w:pPr>
      <w:r>
        <w:rPr>
          <w:bCs/>
          <w:b/>
        </w:rPr>
        <w:t xml:space="preserve">Local Marketing (45%):</w:t>
      </w:r>
      <w:r>
        <w:t xml:space="preserve"> </w:t>
      </w:r>
      <w:r>
        <w:t xml:space="preserve">₹2.1Cr for Mumbai campus events, printed materials at academic conferences, and regional digital ads targeting .ac.in domains</w:t>
      </w:r>
    </w:p>
    <w:p>
      <w:pPr>
        <w:numPr>
          <w:ilvl w:val="0"/>
          <w:numId w:val="1007"/>
        </w:numPr>
        <w:pStyle w:val="Compact"/>
      </w:pPr>
      <w:r>
        <w:rPr>
          <w:bCs/>
          <w:b/>
        </w:rPr>
        <w:t xml:space="preserve">Product Localization (30%):</w:t>
      </w:r>
      <w:r>
        <w:t xml:space="preserve"> </w:t>
      </w:r>
      <w:r>
        <w:t xml:space="preserve">₹1.4Cr for Marathi/Hindi interface development and Mumbai compliance features</w:t>
      </w:r>
    </w:p>
    <w:p>
      <w:pPr>
        <w:numPr>
          <w:ilvl w:val="0"/>
          <w:numId w:val="1007"/>
        </w:numPr>
        <w:pStyle w:val="Compact"/>
      </w:pPr>
      <w:r>
        <w:rPr>
          <w:bCs/>
          <w:b/>
        </w:rPr>
        <w:t xml:space="preserve">Partnership Development (20%):</w:t>
      </w:r>
      <w:r>
        <w:t xml:space="preserve"> </w:t>
      </w:r>
      <w:r>
        <w:t xml:space="preserve">₹0.94Cr for university collaboration agreements and faculty ambassador incentives</w:t>
      </w:r>
    </w:p>
    <w:p>
      <w:pPr>
        <w:numPr>
          <w:ilvl w:val="0"/>
          <w:numId w:val="1007"/>
        </w:numPr>
        <w:pStyle w:val="Compact"/>
      </w:pPr>
      <w:r>
        <w:rPr>
          <w:bCs/>
          <w:b/>
        </w:rPr>
        <w:t xml:space="preserve">Mumbai Operations (5%):</w:t>
      </w:r>
      <w:r>
        <w:t xml:space="preserve"> </w:t>
      </w:r>
      <w:r>
        <w:t xml:space="preserve">₹0.23Cr for physical hub staffing and logistics</w:t>
      </w:r>
    </w:p>
    <w:bookmarkEnd w:id="29"/>
    <w:bookmarkStart w:id="30" w:name="Xeeba7ced21bca8a7a4c892006ee86bb554545d9"/>
    <w:p>
      <w:pPr>
        <w:pStyle w:val="Heading2"/>
      </w:pPr>
      <w:r>
        <w:t xml:space="preserve">Implementation Timeline: Mumbai Launch Phases</w:t>
      </w:r>
    </w:p>
    <w:p>
      <w:pPr>
        <w:pStyle w:val="FirstParagraph"/>
      </w:pPr>
      <w:r>
        <w:rPr>
          <w:bCs/>
          <w:b/>
        </w:rPr>
        <w:t xml:space="preserve">Month 1-3: Foundation Building</w:t>
      </w:r>
    </w:p>
    <w:p>
      <w:pPr>
        <w:numPr>
          <w:ilvl w:val="0"/>
          <w:numId w:val="1008"/>
        </w:numPr>
        <w:pStyle w:val="Compact"/>
      </w:pPr>
      <w:r>
        <w:t xml:space="preserve">Negotiate MoUs with 5 major Mumbai universities (IIT Bombay, University of Mumbai, etc.)</w:t>
      </w:r>
    </w:p>
    <w:p>
      <w:pPr>
        <w:numPr>
          <w:ilvl w:val="0"/>
          <w:numId w:val="1008"/>
        </w:numPr>
        <w:pStyle w:val="Compact"/>
      </w:pPr>
      <w:r>
        <w:t xml:space="preserve">Launch bilingual platform beta with 100 free institutional licenses</w:t>
      </w:r>
    </w:p>
    <w:p>
      <w:pPr>
        <w:numPr>
          <w:ilvl w:val="0"/>
          <w:numId w:val="1008"/>
        </w:numPr>
        <w:pStyle w:val="Compact"/>
      </w:pPr>
      <w:r>
        <w:t xml:space="preserve">Recruit Mumbai-based faculty ambassadors from top research centers</w:t>
      </w:r>
    </w:p>
    <w:p>
      <w:pPr>
        <w:pStyle w:val="FirstParagraph"/>
      </w:pPr>
      <w:r>
        <w:rPr>
          <w:bCs/>
          <w:b/>
        </w:rPr>
        <w:t xml:space="preserve">Month 4-9: Market Penetration</w:t>
      </w:r>
    </w:p>
    <w:p>
      <w:pPr>
        <w:numPr>
          <w:ilvl w:val="0"/>
          <w:numId w:val="1009"/>
        </w:numPr>
        <w:pStyle w:val="Compact"/>
      </w:pPr>
      <w:r>
        <w:t xml:space="preserve">Campaign launch at Mumbai Research Conclave (1,200+ attendees)</w:t>
      </w:r>
    </w:p>
    <w:p>
      <w:pPr>
        <w:numPr>
          <w:ilvl w:val="0"/>
          <w:numId w:val="1009"/>
        </w:numPr>
        <w:pStyle w:val="Compact"/>
      </w:pPr>
      <w:r>
        <w:t xml:space="preserve">Deploy WhatsApp support system for real-time Mumbai researcher assistance</w:t>
      </w:r>
    </w:p>
    <w:p>
      <w:pPr>
        <w:numPr>
          <w:ilvl w:val="0"/>
          <w:numId w:val="1009"/>
        </w:numPr>
        <w:pStyle w:val="Compact"/>
      </w:pPr>
      <w:r>
        <w:t xml:space="preserve">Introduce "Mumbai Researcher of the Month" social recognition program</w:t>
      </w:r>
    </w:p>
    <w:p>
      <w:pPr>
        <w:pStyle w:val="FirstParagraph"/>
      </w:pPr>
      <w:r>
        <w:rPr>
          <w:bCs/>
          <w:b/>
        </w:rPr>
        <w:t xml:space="preserve">Month 10-18: Market Leadership</w:t>
      </w:r>
    </w:p>
    <w:p>
      <w:pPr>
        <w:numPr>
          <w:ilvl w:val="0"/>
          <w:numId w:val="1010"/>
        </w:numPr>
        <w:pStyle w:val="Compact"/>
      </w:pPr>
      <w:r>
        <w:t xml:space="preserve">Expand to 30+ Mumbai institutions through referral partnerships</w:t>
      </w:r>
    </w:p>
    <w:p>
      <w:pPr>
        <w:numPr>
          <w:ilvl w:val="0"/>
          <w:numId w:val="1010"/>
        </w:numPr>
        <w:pStyle w:val="Compact"/>
      </w:pPr>
      <w:r>
        <w:t xml:space="preserve">Leverage Year 1 success stories for national expansion (India-wide)</w:t>
      </w:r>
    </w:p>
    <w:p>
      <w:pPr>
        <w:numPr>
          <w:ilvl w:val="0"/>
          <w:numId w:val="1010"/>
        </w:numPr>
        <w:pStyle w:val="Compact"/>
      </w:pPr>
      <w:r>
        <w:t xml:space="preserve">Introduce Mumbai-specific grant matching service using DBT/CSIR data</w:t>
      </w:r>
    </w:p>
    <w:bookmarkEnd w:id="30"/>
    <w:bookmarkStart w:id="31" w:name="X13ff9919ff151a7c781fb339a0c2405ee29fa08"/>
    <w:p>
      <w:pPr>
        <w:pStyle w:val="Heading2"/>
      </w:pPr>
      <w:r>
        <w:t xml:space="preserve">Evaluation Metrics: Tracking Academic Researcher Success in Mumbai</w:t>
      </w:r>
    </w:p>
    <w:p>
      <w:pPr>
        <w:pStyle w:val="FirstParagraph"/>
      </w:pPr>
      <w:r>
        <w:t xml:space="preserve">We measure success through both business and impact KPIs:</w:t>
      </w:r>
    </w:p>
    <w:p>
      <w:pPr>
        <w:pStyle w:val="BodyText"/>
      </w:pPr>
      <w:r>
        <w:t xml:space="preserve">KPI</w:t>
      </w:r>
    </w:p>
    <w:p>
      <w:pPr>
        <w:pStyle w:val="BodyText"/>
      </w:pPr>
      <w:r>
        <w:t xml:space="preserve">Target (Year 1)</w:t>
      </w:r>
    </w:p>
    <w:p>
      <w:pPr>
        <w:pStyle w:val="BodyText"/>
      </w:pPr>
      <w:r>
        <w:t xml:space="preserve">Mumbai Specificity</w:t>
      </w:r>
    </w:p>
    <w:p>
      <w:pPr>
        <w:pStyle w:val="BodyText"/>
      </w:pPr>
      <w:r>
        <w:t xml:space="preserve">Acquisition Cost per Academic Researcher</w:t>
      </w:r>
    </w:p>
    <w:p>
      <w:pPr>
        <w:pStyle w:val="BodyText"/>
      </w:pPr>
      <w:r>
        <w:t xml:space="preserve">&lt; ₹3,200</w:t>
      </w:r>
    </w:p>
    <w:p>
      <w:pPr>
        <w:pStyle w:val="BodyText"/>
      </w:pPr>
      <w:r>
        <w:t xml:space="preserve">7% below national average due to hyper-local marketing</w:t>
      </w:r>
    </w:p>
    <w:p>
      <w:pPr>
        <w:pStyle w:val="BodyText"/>
      </w:pPr>
      <w:r>
        <w:t xml:space="preserve">Platform Adoption Rate in Mumbai Universities</w:t>
      </w:r>
    </w:p>
    <w:p>
      <w:pPr>
        <w:pStyle w:val="BodyText"/>
      </w:pPr>
      <w:r>
        <w:t xml:space="preserve">92%</w:t>
      </w:r>
    </w:p>
    <w:p>
      <w:pPr>
        <w:pStyle w:val="BodyText"/>
      </w:pPr>
      <w:r>
        <w:t xml:space="preserve">Premium plan conversion from free users (Mumbai only)</w:t>
      </w:r>
    </w:p>
    <w:p>
      <w:pPr>
        <w:pStyle w:val="BodyText"/>
      </w:pPr>
      <w:r>
        <w:t xml:space="preserve">Mumbai Researcher Retention Rate</w:t>
      </w:r>
    </w:p>
    <w:p>
      <w:pPr>
        <w:pStyle w:val="BodyText"/>
      </w:pPr>
      <w:r>
        <w:t xml:space="preserve">85%</w:t>
      </w:r>
    </w:p>
    <w:p>
      <w:pPr>
        <w:pStyle w:val="BodyText"/>
      </w:pPr>
      <w:r>
        <w:t xml:space="preserve">Measures success of localized features vs. competitors</w:t>
      </w:r>
    </w:p>
    <w:p>
      <w:pPr>
        <w:pStyle w:val="BodyText"/>
      </w:pPr>
      <w:r>
        <w:t xml:space="preserve">Institutional Partnership Growth</w:t>
      </w:r>
    </w:p>
    <w:p>
      <w:pPr>
        <w:pStyle w:val="BodyText"/>
      </w:pPr>
      <w:r>
        <w:t xml:space="preserve">12+ Mumbai universities</w:t>
      </w:r>
    </w:p>
    <w:p>
      <w:pPr>
        <w:pStyle w:val="BodyText"/>
      </w:pPr>
      <w:r>
        <w:t xml:space="preserve">&lt; td&gt;Critical for long-term sustainability in India Mumbai ecosystem</w:t>
      </w:r>
    </w:p>
    <w:bookmarkEnd w:id="31"/>
    <w:bookmarkStart w:id="32" w:name="X5ba4ed81d19ab7192548945a4006ddc9005a98b"/>
    <w:p>
      <w:pPr>
        <w:pStyle w:val="Heading2"/>
      </w:pPr>
      <w:r>
        <w:t xml:space="preserve">Conclusion: Becoming the Research Catalyst for Mumbai's Academic Ecosystem</w:t>
      </w:r>
    </w:p>
    <w:p>
      <w:pPr>
        <w:pStyle w:val="FirstParagraph"/>
      </w:pPr>
      <w:r>
        <w:t xml:space="preserve">This Marketing Plan positions our service as indispensable to every</w:t>
      </w:r>
      <w:r>
        <w:t xml:space="preserve"> </w:t>
      </w:r>
      <w:r>
        <w:rPr>
          <w:bCs/>
          <w:b/>
        </w:rPr>
        <w:t xml:space="preserve">Academic Researcher</w:t>
      </w:r>
      <w:r>
        <w:t xml:space="preserve"> </w:t>
      </w:r>
      <w:r>
        <w:t xml:space="preserve">navigating Mumbai's complex research environment. By embedding India Mumbai cultural nuances into every feature, from monsoon-proof workflows to UGC compliance, we transcend generic SaaS offerings. Our focus on measurable productivity gains – reducing administrative hours by 25% for Mumbai researchers – directly aligns with institutional priorities across</w:t>
      </w:r>
      <w:r>
        <w:t xml:space="preserve"> </w:t>
      </w:r>
      <w:r>
        <w:rPr>
          <w:bCs/>
          <w:b/>
        </w:rPr>
        <w:t xml:space="preserve">India Mumbai</w:t>
      </w:r>
      <w:r>
        <w:t xml:space="preserve">'s academic landscape. This isn't just a marketing strategy; it's an investment in accelerating India's scientific contribution through its most vibrant research hub.</w:t>
      </w:r>
    </w:p>
    <w:p>
      <w:pPr>
        <w:pStyle w:val="BodyText"/>
      </w:pPr>
      <w:r>
        <w:rPr>
          <w:iCs/>
          <w:i/>
        </w:rPr>
        <w:t xml:space="preserve">Document Prepared For: Academic Researcher Support Services, Mumbai Office</w:t>
      </w:r>
      <w:r>
        <w:br/>
      </w: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Support Services in India Mumbai</dc:title>
  <dc:creator/>
  <dc:language>en</dc:language>
  <cp:keywords/>
  <dcterms:created xsi:type="dcterms:W3CDTF">2026-07-23T11:49:52Z</dcterms:created>
  <dcterms:modified xsi:type="dcterms:W3CDTF">2026-07-23T11:49:52Z</dcterms:modified>
</cp:coreProperties>
</file>

<file path=docProps/custom.xml><?xml version="1.0" encoding="utf-8"?>
<Properties xmlns="http://schemas.openxmlformats.org/officeDocument/2006/custom-properties" xmlns:vt="http://schemas.openxmlformats.org/officeDocument/2006/docPropsVTypes"/>
</file>