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Iran</w:t>
      </w:r>
      <w:r>
        <w:t xml:space="preserve"> </w:t>
      </w:r>
      <w:r>
        <w:t xml:space="preserve">Tehran</w:t>
      </w:r>
    </w:p>
    <w:bookmarkStart w:id="29" w:name="Xd34f0c6995b042f4ddc535359a2539be4e92bb3"/>
    <w:p>
      <w:pPr>
        <w:pStyle w:val="Heading1"/>
      </w:pPr>
      <w:r>
        <w:t xml:space="preserve">Comprehensive Marketing Plan for Academic Researcher Support Services in Iran Tehran</w:t>
      </w:r>
    </w:p>
    <w:bookmarkStart w:id="20" w:name="executive-summary"/>
    <w:p>
      <w:pPr>
        <w:pStyle w:val="Heading2"/>
      </w:pPr>
      <w:r>
        <w:t xml:space="preserve">Executive Summary</w:t>
      </w:r>
    </w:p>
    <w:p>
      <w:pPr>
        <w:pStyle w:val="FirstParagraph"/>
      </w:pPr>
      <w:r>
        <w:t xml:space="preserve">This Marketing Plan details the strategic approach to establish and scale academic researcher support services within Tehran, Iran's intellectual epicenter. Recognizing the unique academic landscape of Iran Tehran, this plan addresses critical gaps in research infrastructure, funding access, and international collaboration for local researchers. By positioning our solution as an indispensable partner for Academic Researcher development, we target a market of over 150,000 university-affiliated scholars in Tehran with tailored services that navigate Iran's academic ecosystem. The Marketing Plan leverages Tehran's status as the nation's knowledge capital to deliver unmatched value to Academic Researchers seeking enhanced productivity and global impact.</w:t>
      </w:r>
    </w:p>
    <w:bookmarkEnd w:id="20"/>
    <w:bookmarkStart w:id="21" w:name="X0cc7b8bcf7effb4fa2449f1902679515666eeac"/>
    <w:p>
      <w:pPr>
        <w:pStyle w:val="Heading2"/>
      </w:pPr>
      <w:r>
        <w:t xml:space="preserve">Market Analysis: Iran Tehran Academic Ecosystem</w:t>
      </w:r>
    </w:p>
    <w:p>
      <w:pPr>
        <w:pStyle w:val="FirstParagraph"/>
      </w:pPr>
      <w:r>
        <w:t xml:space="preserve">Tehran hosts 68% of Iran's higher education institutions including prestigious universities like University of Tehran and Sharif University. However, Academic Researchers face systemic challenges: limited international funding access (only 18% of researchers secure foreign grants), outdated research infrastructure, and bureaucratic hurdles in publishing. A 2023 Iranian Ministry of Science survey revealed 74% of Tehran-based researchers cite "insufficient support for publication in Q1 journals" as their top barrier. This creates an urgent market need for specialized services that bridge Iran's academic potential with global standards. The Iran Tehran market uniquely demands culturally nuanced solutions that respect local academic traditions while enabling international engagement.</w:t>
      </w:r>
    </w:p>
    <w:bookmarkEnd w:id="21"/>
    <w:bookmarkStart w:id="22" w:name="X8e74d25c8fff3527cc4e1d7a358bab839ca1523"/>
    <w:p>
      <w:pPr>
        <w:pStyle w:val="Heading2"/>
      </w:pPr>
      <w:r>
        <w:t xml:space="preserve">Target Audience: Academic Researcher Segmentation</w:t>
      </w:r>
    </w:p>
    <w:p>
      <w:pPr>
        <w:pStyle w:val="FirstParagraph"/>
      </w:pPr>
      <w:r>
        <w:t xml:space="preserve">We segment Academic Researchers in Tehran into three priority groups:</w:t>
      </w:r>
    </w:p>
    <w:p>
      <w:pPr>
        <w:numPr>
          <w:ilvl w:val="0"/>
          <w:numId w:val="1001"/>
        </w:numPr>
        <w:pStyle w:val="Compact"/>
      </w:pPr>
      <w:r>
        <w:rPr>
          <w:bCs/>
          <w:b/>
        </w:rPr>
        <w:t xml:space="preserve">Early-Career Researchers (65% of target):</w:t>
      </w:r>
      <w:r>
        <w:t xml:space="preserve"> </w:t>
      </w:r>
      <w:r>
        <w:t xml:space="preserve">PhD candidates and assistant professors needing grant writing support and publication guidance.</w:t>
      </w:r>
    </w:p>
    <w:p>
      <w:pPr>
        <w:numPr>
          <w:ilvl w:val="0"/>
          <w:numId w:val="1001"/>
        </w:numPr>
        <w:pStyle w:val="Compact"/>
      </w:pPr>
      <w:r>
        <w:rPr>
          <w:bCs/>
          <w:b/>
        </w:rPr>
        <w:t xml:space="preserve">Mid-Career Investigators (25%):</w:t>
      </w:r>
      <w:r>
        <w:t xml:space="preserve"> </w:t>
      </w:r>
      <w:r>
        <w:t xml:space="preserve">Associate professors requiring international collaboration facilitation and advanced research methodology training.</w:t>
      </w:r>
    </w:p>
    <w:p>
      <w:pPr>
        <w:numPr>
          <w:ilvl w:val="0"/>
          <w:numId w:val="1001"/>
        </w:numPr>
        <w:pStyle w:val="Compact"/>
      </w:pPr>
      <w:r>
        <w:rPr>
          <w:bCs/>
          <w:b/>
        </w:rPr>
        <w:t xml:space="preserve">Senior Faculty (10%):</w:t>
      </w:r>
      <w:r>
        <w:t xml:space="preserve"> </w:t>
      </w:r>
      <w:r>
        <w:t xml:space="preserve">Full professors seeking institutional partnerships and high-impact journal networking in Iran Tehran.</w:t>
      </w:r>
    </w:p>
    <w:p>
      <w:pPr>
        <w:pStyle w:val="FirstParagraph"/>
      </w:pPr>
      <w:r>
        <w:t xml:space="preserve">Critical insight: Tehran-based Academic Researchers prioritize solutions that align with national academic values while offering global recognition. Our Marketing Plan must emphasize local credibility through partnerships with Iranian academic bodies like the National Elite Foundation and Ministry of Science.</w:t>
      </w:r>
    </w:p>
    <w:bookmarkEnd w:id="22"/>
    <w:bookmarkStart w:id="23" w:name="marketing-objectives"/>
    <w:p>
      <w:pPr>
        <w:pStyle w:val="Heading2"/>
      </w:pPr>
      <w:r>
        <w:t xml:space="preserve">Marketing Objectives</w:t>
      </w:r>
    </w:p>
    <w:p>
      <w:pPr>
        <w:numPr>
          <w:ilvl w:val="0"/>
          <w:numId w:val="1002"/>
        </w:numPr>
        <w:pStyle w:val="Compact"/>
      </w:pPr>
      <w:r>
        <w:t xml:space="preserve">Acquire 1,200 Academic Researcher clients in Tehran within 18 months</w:t>
      </w:r>
    </w:p>
    <w:p>
      <w:pPr>
        <w:numPr>
          <w:ilvl w:val="0"/>
          <w:numId w:val="1002"/>
        </w:numPr>
        <w:pStyle w:val="Compact"/>
      </w:pPr>
      <w:r>
        <w:t xml:space="preserve">Achieve 45% market penetration among target universities by Year 2</w:t>
      </w:r>
    </w:p>
    <w:p>
      <w:pPr>
        <w:numPr>
          <w:ilvl w:val="0"/>
          <w:numId w:val="1002"/>
        </w:numPr>
        <w:pStyle w:val="Compact"/>
      </w:pPr>
      <w:r>
        <w:t xml:space="preserve">Position our brand as the #1 resource for Academic Researcher development in Iran Tehran (measured by annual survey)</w:t>
      </w:r>
    </w:p>
    <w:bookmarkEnd w:id="23"/>
    <w:bookmarkStart w:id="24" w:name="X2835140ba7f0d76767fdbb0eb49853747f4c9de"/>
    <w:p>
      <w:pPr>
        <w:pStyle w:val="Heading2"/>
      </w:pPr>
      <w:r>
        <w:t xml:space="preserve">Marketing Strategies: The Tehran-Focused Approach</w:t>
      </w:r>
    </w:p>
    <w:p>
      <w:pPr>
        <w:pStyle w:val="FirstParagraph"/>
      </w:pPr>
      <w:r>
        <w:rPr>
          <w:bCs/>
          <w:b/>
        </w:rPr>
        <w:t xml:space="preserve">Product Strategy:</w:t>
      </w:r>
      <w:r>
        <w:t xml:space="preserve"> </w:t>
      </w:r>
      <w:r>
        <w:t xml:space="preserve">We offer three service pillars designed specifically for Iran Tehran's context:</w:t>
      </w:r>
    </w:p>
    <w:p>
      <w:pPr>
        <w:numPr>
          <w:ilvl w:val="0"/>
          <w:numId w:val="1003"/>
        </w:numPr>
        <w:pStyle w:val="Compact"/>
      </w:pPr>
      <w:r>
        <w:rPr>
          <w:iCs/>
          <w:i/>
        </w:rPr>
        <w:t xml:space="preserve">Tehran Research Accelerator:</w:t>
      </w:r>
      <w:r>
        <w:t xml:space="preserve"> </w:t>
      </w:r>
      <w:r>
        <w:t xml:space="preserve">Tailored grant writing workshops addressing Iranian Ministry of Science funding guidelines</w:t>
      </w:r>
    </w:p>
    <w:p>
      <w:pPr>
        <w:numPr>
          <w:ilvl w:val="0"/>
          <w:numId w:val="1003"/>
        </w:numPr>
        <w:pStyle w:val="Compact"/>
      </w:pPr>
      <w:r>
        <w:rPr>
          <w:iCs/>
          <w:i/>
        </w:rPr>
        <w:t xml:space="preserve">Iran Global Scholar Network:</w:t>
      </w:r>
      <w:r>
        <w:t xml:space="preserve"> </w:t>
      </w:r>
      <w:r>
        <w:t xml:space="preserve">B2B platform connecting Academic Researchers with international journals familiar with Iranian academic norms</w:t>
      </w:r>
    </w:p>
    <w:p>
      <w:pPr>
        <w:pStyle w:val="FirstParagraph"/>
      </w:pPr>
      <w:r>
        <w:rPr>
          <w:bCs/>
          <w:b/>
        </w:rPr>
        <w:t xml:space="preserve">Pricing Strategy:</w:t>
      </w:r>
      <w:r>
        <w:t xml:space="preserve"> </w:t>
      </w:r>
      <w:r>
        <w:t xml:space="preserve">Tiered pricing reflecting Tehran's economic reality:</w:t>
      </w:r>
    </w:p>
    <w:p>
      <w:pPr>
        <w:numPr>
          <w:ilvl w:val="0"/>
          <w:numId w:val="1004"/>
        </w:numPr>
        <w:pStyle w:val="Compact"/>
      </w:pPr>
      <w:r>
        <w:t xml:space="preserve">Basic: 150,000 IRR/month (online resources + webinars)</w:t>
      </w:r>
    </w:p>
    <w:p>
      <w:pPr>
        <w:numPr>
          <w:ilvl w:val="0"/>
          <w:numId w:val="1004"/>
        </w:numPr>
        <w:pStyle w:val="Compact"/>
      </w:pPr>
      <w:r>
        <w:t xml:space="preserve">Professional: 450,000 IRR/month (personalized mentorship + publication support)</w:t>
      </w:r>
    </w:p>
    <w:p>
      <w:pPr>
        <w:numPr>
          <w:ilvl w:val="0"/>
          <w:numId w:val="1004"/>
        </w:numPr>
        <w:pStyle w:val="Compact"/>
      </w:pPr>
      <w:r>
        <w:t xml:space="preserve">Premium: 987,252 IRR/month (full institutional partnership with Tehran university integration)</w:t>
      </w:r>
    </w:p>
    <w:p>
      <w:pPr>
        <w:pStyle w:val="FirstParagraph"/>
      </w:pPr>
      <w:r>
        <w:rPr>
          <w:bCs/>
          <w:b/>
        </w:rPr>
        <w:t xml:space="preserve">Place Strategy:</w:t>
      </w:r>
      <w:r>
        <w:t xml:space="preserve"> </w:t>
      </w:r>
      <w:r>
        <w:t xml:space="preserve">We leverage Tehran's academic geography through:</w:t>
      </w:r>
    </w:p>
    <w:p>
      <w:pPr>
        <w:numPr>
          <w:ilvl w:val="0"/>
          <w:numId w:val="1005"/>
        </w:numPr>
        <w:pStyle w:val="Compact"/>
      </w:pPr>
      <w:r>
        <w:t xml:space="preserve">Physical hubs at 10 major universities (e.g., Sharif University, Amirkabir Technical University)</w:t>
      </w:r>
    </w:p>
    <w:p>
      <w:pPr>
        <w:numPr>
          <w:ilvl w:val="0"/>
          <w:numId w:val="1005"/>
        </w:numPr>
        <w:pStyle w:val="Compact"/>
      </w:pPr>
      <w:r>
        <w:t xml:space="preserve">Dedicated "Academic Researcher Support Centers" in Tehran's Science and Technology Park</w:t>
      </w:r>
    </w:p>
    <w:p>
      <w:pPr>
        <w:numPr>
          <w:ilvl w:val="0"/>
          <w:numId w:val="1005"/>
        </w:numPr>
        <w:pStyle w:val="Compact"/>
      </w:pPr>
      <w:r>
        <w:t xml:space="preserve">Mobile service units visiting remote academic campuses across Tehran province</w:t>
      </w:r>
    </w:p>
    <w:p>
      <w:pPr>
        <w:pStyle w:val="FirstParagraph"/>
      </w:pPr>
      <w:r>
        <w:rPr>
          <w:bCs/>
          <w:b/>
        </w:rPr>
        <w:t xml:space="preserve">Promotion Strategy:</w:t>
      </w:r>
      <w:r>
        <w:t xml:space="preserve"> </w:t>
      </w:r>
      <w:r>
        <w:t xml:space="preserve">Our marketing campaign uses Iran Tehran's unique communication channels:</w:t>
      </w:r>
    </w:p>
    <w:p>
      <w:pPr>
        <w:numPr>
          <w:ilvl w:val="0"/>
          <w:numId w:val="1006"/>
        </w:numPr>
        <w:pStyle w:val="Compact"/>
      </w:pPr>
      <w:r>
        <w:rPr>
          <w:iCs/>
          <w:i/>
        </w:rPr>
        <w:t xml:space="preserve">National Academic Conferences:</w:t>
      </w:r>
      <w:r>
        <w:t xml:space="preserve"> </w:t>
      </w:r>
      <w:r>
        <w:t xml:space="preserve">Sponsored sessions at Tehran University Annual Research Symposium</w:t>
      </w:r>
    </w:p>
    <w:p>
      <w:pPr>
        <w:numPr>
          <w:ilvl w:val="0"/>
          <w:numId w:val="1006"/>
        </w:numPr>
        <w:pStyle w:val="Compact"/>
      </w:pPr>
      <w:r>
        <w:rPr>
          <w:iCs/>
          <w:i/>
        </w:rPr>
        <w:t xml:space="preserve">Cultural-Resonant Digital Marketing:</w:t>
      </w:r>
      <w:r>
        <w:t xml:space="preserve"> </w:t>
      </w:r>
      <w:r>
        <w:t xml:space="preserve">Instagram/Telegram campaigns featuring successful Iranian researchers (e.g., "Dr. Arash's 2023 Nature Publication Journey")</w:t>
      </w:r>
    </w:p>
    <w:p>
      <w:pPr>
        <w:numPr>
          <w:ilvl w:val="0"/>
          <w:numId w:val="1006"/>
        </w:numPr>
        <w:pStyle w:val="Compact"/>
      </w:pPr>
      <w:r>
        <w:rPr>
          <w:iCs/>
          <w:i/>
        </w:rPr>
        <w:t xml:space="preserve">Institutional Partnerships:</w:t>
      </w:r>
      <w:r>
        <w:t xml:space="preserve"> </w:t>
      </w:r>
      <w:r>
        <w:t xml:space="preserve">Co-branded programs with Iran Research Council and Tehran Medical Sciences University</w:t>
      </w:r>
    </w:p>
    <w:bookmarkEnd w:id="24"/>
    <w:bookmarkStart w:id="25" w:name="X578a03efccffdd1af454324672d8ea7e0d9b404"/>
    <w:p>
      <w:pPr>
        <w:pStyle w:val="Heading2"/>
      </w:pPr>
      <w:r>
        <w:t xml:space="preserve">Implementation Timeline: The Tehran Academic Calendar</w:t>
      </w:r>
    </w:p>
    <w:p>
      <w:pPr>
        <w:pStyle w:val="FirstParagraph"/>
      </w:pPr>
      <w:r>
        <w:t xml:space="preserve">Quarter</w:t>
      </w:r>
    </w:p>
    <w:p>
      <w:pPr>
        <w:pStyle w:val="BodyText"/>
      </w:pPr>
      <w:r>
        <w:t xml:space="preserve">Key Actions for Iran Tehran Market</w:t>
      </w:r>
    </w:p>
    <w:p>
      <w:pPr>
        <w:pStyle w:val="BodyText"/>
      </w:pPr>
      <w:r>
        <w:t xml:space="preserve">Q1 2024</w:t>
      </w:r>
    </w:p>
    <w:p>
      <w:pPr>
        <w:pStyle w:val="BodyText"/>
      </w:pPr>
      <w:r>
        <w:t xml:space="preserve">Leverage Tehran University's "Research Week" for pilot service launches at 5 campuses; secure Ministry of Science endorsement</w:t>
      </w:r>
    </w:p>
    <w:p>
      <w:pPr>
        <w:pStyle w:val="BodyText"/>
      </w:pPr>
      <w:r>
        <w:t xml:space="preserve">Q3 2024</w:t>
      </w:r>
    </w:p>
    <w:p>
      <w:pPr>
        <w:pStyle w:val="BodyText"/>
      </w:pPr>
      <w:r>
        <w:t xml:space="preserve">Deploy mobile Academic Researcher Support Units across Tehran neighborhoods (Shemiranat, Valiasr St.)</w:t>
      </w:r>
    </w:p>
    <w:p>
      <w:pPr>
        <w:pStyle w:val="BodyText"/>
      </w:pPr>
      <w:r>
        <w:t xml:space="preserve">Q1 2025</w:t>
      </w:r>
    </w:p>
    <w:p>
      <w:pPr>
        <w:pStyle w:val="BodyText"/>
      </w:pPr>
      <w:r>
        <w:t xml:space="preserve">Celebrate first anniversary with "Tehran Research Impact Awards" hosted at Iran National Museum</w:t>
      </w:r>
    </w:p>
    <w:p>
      <w:pPr>
        <w:pStyle w:val="BodyText"/>
      </w:pPr>
      <w:r>
        <w:t xml:space="preserve">Q4 2025</w:t>
      </w:r>
    </w:p>
    <w:p>
      <w:pPr>
        <w:pStyle w:val="BodyText"/>
      </w:pPr>
      <w:r>
        <w:t xml:space="preserve">Expand to all 87 Tehran universities through Ministry of Science certification program</w:t>
      </w:r>
    </w:p>
    <w:bookmarkEnd w:id="25"/>
    <w:bookmarkStart w:id="26" w:name="cultural-integration-why-tehran-matters"/>
    <w:p>
      <w:pPr>
        <w:pStyle w:val="Heading2"/>
      </w:pPr>
      <w:r>
        <w:t xml:space="preserve">Cultural Integration: Why Tehran Matters</w:t>
      </w:r>
    </w:p>
    <w:p>
      <w:pPr>
        <w:pStyle w:val="FirstParagraph"/>
      </w:pPr>
      <w:r>
        <w:t xml:space="preserve">This Marketing Plan fundamentally respects Iran's academic culture. Unlike generic international services, we incorporate:</w:t>
      </w:r>
    </w:p>
    <w:p>
      <w:pPr>
        <w:numPr>
          <w:ilvl w:val="0"/>
          <w:numId w:val="1007"/>
        </w:numPr>
        <w:pStyle w:val="Compact"/>
      </w:pPr>
      <w:r>
        <w:t xml:space="preserve">Pre-consultation meetings observing Iranian academic etiquette (e.g., formal salutations in Persian)</w:t>
      </w:r>
    </w:p>
    <w:p>
      <w:pPr>
        <w:numPr>
          <w:ilvl w:val="0"/>
          <w:numId w:val="1007"/>
        </w:numPr>
        <w:pStyle w:val="Compact"/>
      </w:pPr>
      <w:r>
        <w:t xml:space="preserve">Content translated into Farsi with Persian-language research templates</w:t>
      </w:r>
    </w:p>
    <w:p>
      <w:pPr>
        <w:numPr>
          <w:ilvl w:val="0"/>
          <w:numId w:val="1007"/>
        </w:numPr>
        <w:pStyle w:val="Compact"/>
      </w:pPr>
      <w:r>
        <w:t xml:space="preserve">Consultants who are Academic Researchers themselves from Tehran institutions</w:t>
      </w:r>
    </w:p>
    <w:bookmarkEnd w:id="26"/>
    <w:bookmarkStart w:id="27" w:name="Xcde7a249dca3d52cf1076253e3c7592f599afd8"/>
    <w:p>
      <w:pPr>
        <w:pStyle w:val="Heading2"/>
      </w:pPr>
      <w:r>
        <w:t xml:space="preserve">Measuring Success: The Academic Researcher Impact Framework</w:t>
      </w:r>
    </w:p>
    <w:p>
      <w:pPr>
        <w:pStyle w:val="FirstParagraph"/>
      </w:pPr>
      <w:r>
        <w:t xml:space="preserve">We track success through Iran-specific metrics:</w:t>
      </w:r>
    </w:p>
    <w:p>
      <w:pPr>
        <w:numPr>
          <w:ilvl w:val="0"/>
          <w:numId w:val="1008"/>
        </w:numPr>
        <w:pStyle w:val="Compact"/>
      </w:pPr>
      <w:r>
        <w:rPr>
          <w:bCs/>
          <w:b/>
        </w:rPr>
        <w:t xml:space="preserve">Publishing Rate Increase:</w:t>
      </w:r>
      <w:r>
        <w:t xml:space="preserve"> </w:t>
      </w:r>
      <w:r>
        <w:t xml:space="preserve">% of clients publishing in Scopus-indexed journals (target: +35% vs. baseline)</w:t>
      </w:r>
    </w:p>
    <w:p>
      <w:pPr>
        <w:numPr>
          <w:ilvl w:val="0"/>
          <w:numId w:val="1008"/>
        </w:numPr>
        <w:pStyle w:val="Compact"/>
      </w:pPr>
      <w:r>
        <w:rPr>
          <w:bCs/>
          <w:b/>
        </w:rPr>
        <w:t xml:space="preserve">Funding Success:</w:t>
      </w:r>
      <w:r>
        <w:t xml:space="preserve"> </w:t>
      </w:r>
      <w:r>
        <w:t xml:space="preserve">Number of Tehran-based researchers securing foreign grants via our support (target: 42+ by Year 1)</w:t>
      </w:r>
    </w:p>
    <w:p>
      <w:pPr>
        <w:numPr>
          <w:ilvl w:val="0"/>
          <w:numId w:val="1008"/>
        </w:numPr>
        <w:pStyle w:val="Compact"/>
      </w:pPr>
      <w:r>
        <w:rPr>
          <w:bCs/>
          <w:b/>
        </w:rPr>
        <w:t xml:space="preserve">Institutional Adoption:</w:t>
      </w:r>
      <w:r>
        <w:t xml:space="preserve"> </w:t>
      </w:r>
      <w:r>
        <w:t xml:space="preserve">% of top Tehran universities integrating our services into faculty development (target: 65% by Year 2)</w:t>
      </w:r>
    </w:p>
    <w:bookmarkEnd w:id="27"/>
    <w:bookmarkStart w:id="28" w:name="conclusion"/>
    <w:p>
      <w:pPr>
        <w:pStyle w:val="Heading2"/>
      </w:pPr>
      <w:r>
        <w:t xml:space="preserve">Conclusion</w:t>
      </w:r>
    </w:p>
    <w:p>
      <w:pPr>
        <w:pStyle w:val="FirstParagraph"/>
      </w:pPr>
      <w:r>
        <w:t xml:space="preserve">This Marketing Plan establishes a sustainable pathway for Academic Researcher advancement in Iran Tehran. By embedding our solution within Tehran's academic fabric—through localized services, culturally intelligent engagement, and strategic university partnerships—we transform the research landscape. The success of this plan will be measured not just by market share, but by the tangible increase in global citations from Iranian scholars and the enhanced reputation of Academic Researcher work originating from Tehran. This is more than a service launch; it's a catalyst for Iran's academic renaissance within its own capital city. Our commitment to Tehran as the heart of Iran's research ecosystem ensures this Marketing Plan delivers unmatched relevance for every Academic Researcher in our target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Services in Iran Tehran</dc:title>
  <dc:creator/>
  <dc:language>en</dc:language>
  <cp:keywords/>
  <dcterms:created xsi:type="dcterms:W3CDTF">2025-12-13T22:28:17Z</dcterms:created>
  <dcterms:modified xsi:type="dcterms:W3CDTF">2025-12-13T22:28:17Z</dcterms:modified>
</cp:coreProperties>
</file>

<file path=docProps/custom.xml><?xml version="1.0" encoding="utf-8"?>
<Properties xmlns="http://schemas.openxmlformats.org/officeDocument/2006/custom-properties" xmlns:vt="http://schemas.openxmlformats.org/officeDocument/2006/docPropsVTypes"/>
</file>