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Kyoto</w:t>
      </w:r>
    </w:p>
    <w:bookmarkStart w:id="32" w:name="X213bcefc29e2b60d9df8733e2fc28de27b47c04"/>
    <w:p>
      <w:pPr>
        <w:pStyle w:val="Heading1"/>
      </w:pPr>
      <w:r>
        <w:t xml:space="preserve">Comprehensive Marketing Plan for Academic Researcher Position: Advancing Scholarship in Japan Kyoto</w:t>
      </w:r>
    </w:p>
    <w:bookmarkStart w:id="20" w:name="executive-summary"/>
    <w:p>
      <w:pPr>
        <w:pStyle w:val="Heading2"/>
      </w:pPr>
      <w:r>
        <w:t xml:space="preserve">Executive Summary</w:t>
      </w:r>
    </w:p>
    <w:p>
      <w:pPr>
        <w:pStyle w:val="FirstParagraph"/>
      </w:pPr>
      <w:r>
        <w:t xml:space="preserve">This Marketing Plan outlines a strategic framework to position an academic researcher within the prestigious academic ecosystem of Kyoto, Japan. Targeting key institutions including Kyoto University, RIKEN, and Kyoto City University of Arts, this plan leverages Japan's rich intellectual heritage while addressing contemporary research challenges. The primary objective is to establish a highly visible and credible profile for the Academic Researcher in Japan Kyoto through culturally nuanced engagement strategies that resonate with local academic values and institutional priorities.</w:t>
      </w:r>
    </w:p>
    <w:bookmarkEnd w:id="20"/>
    <w:bookmarkStart w:id="21" w:name="Xacff465c00a4d2ec516e7824436d2f3703438dd"/>
    <w:p>
      <w:pPr>
        <w:pStyle w:val="Heading2"/>
      </w:pPr>
      <w:r>
        <w:t xml:space="preserve">Market Analysis: Kyoto's Academic Landscape</w:t>
      </w:r>
    </w:p>
    <w:p>
      <w:pPr>
        <w:pStyle w:val="FirstParagraph"/>
      </w:pPr>
      <w:r>
        <w:t xml:space="preserve">Kyoto represents one of Japan's most vibrant intellectual hubs, housing 18 major universities and 45 research institutes. The city hosts 37% of Japan's national research grants allocated to humanities and social sciences (JSPS, 2023). However, international researchers face unique challenges: language barriers (only 15% of Kyoto-based academics use English as primary communication), complex institutional hierarchies, and limited cross-cultural networking opportunities. The Kyoto academic community highly values</w:t>
      </w:r>
      <w:r>
        <w:t xml:space="preserve"> </w:t>
      </w:r>
      <w:r>
        <w:rPr>
          <w:iCs/>
          <w:i/>
        </w:rPr>
        <w:t xml:space="preserve">wa</w:t>
      </w:r>
      <w:r>
        <w:t xml:space="preserve"> </w:t>
      </w:r>
      <w:r>
        <w:t xml:space="preserve">(harmony) and</w:t>
      </w:r>
      <w:r>
        <w:t xml:space="preserve"> </w:t>
      </w:r>
      <w:r>
        <w:rPr>
          <w:iCs/>
          <w:i/>
        </w:rPr>
        <w:t xml:space="preserve">kaizen</w:t>
      </w:r>
      <w:r>
        <w:t xml:space="preserve"> </w:t>
      </w:r>
      <w:r>
        <w:t xml:space="preserve">(continuous improvement), requiring marketing approaches that demonstrate cultural intelligence rather than transactional tactics.</w:t>
      </w:r>
    </w:p>
    <w:p>
      <w:pPr>
        <w:pStyle w:val="BodyText"/>
      </w:pPr>
      <w:r>
        <w:t xml:space="preserve">A 2023 Kyoto University survey revealed 68% of researchers seek collaborative opportunities with overseas scholars but cite "lack of trusted local partners" as the primary barrier. This creates a strategic opening for an Academic Researcher in Japan Kyoto to establish themselves as the bridge between global scholarship and Kyoto's academic traditions.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Tenured professors (50-65 years) at Kyoto University's Graduate School of Letters and Faculty of Engineering; Research directors at National Institute for Materials Science (NIMS)</w:t>
      </w:r>
    </w:p>
    <w:p>
      <w:pPr>
        <w:numPr>
          <w:ilvl w:val="0"/>
          <w:numId w:val="1001"/>
        </w:numPr>
        <w:pStyle w:val="Compact"/>
      </w:pPr>
      <w:r>
        <w:rPr>
          <w:bCs/>
          <w:b/>
        </w:rPr>
        <w:t xml:space="preserve">Secondary:</w:t>
      </w:r>
      <w:r>
        <w:t xml:space="preserve"> </w:t>
      </w:r>
      <w:r>
        <w:t xml:space="preserve">PhD candidates (30-35 years) in interdisciplinary fields; Kyoto-based research foundations like the KIT Foundation</w:t>
      </w:r>
    </w:p>
    <w:p>
      <w:pPr>
        <w:numPr>
          <w:ilvl w:val="0"/>
          <w:numId w:val="1001"/>
        </w:numPr>
        <w:pStyle w:val="Compact"/>
      </w:pPr>
      <w:r>
        <w:rPr>
          <w:bCs/>
          <w:b/>
        </w:rPr>
        <w:t xml:space="preserve">Tertiary:</w:t>
      </w:r>
      <w:r>
        <w:t xml:space="preserve"> </w:t>
      </w:r>
      <w:r>
        <w:t xml:space="preserve">Japanese Ministry of Education officials overseeing academic exchange programs</w:t>
      </w:r>
    </w:p>
    <w:bookmarkEnd w:id="22"/>
    <w:bookmarkStart w:id="23" w:name="core-marketing-objectives"/>
    <w:p>
      <w:pPr>
        <w:pStyle w:val="Heading2"/>
      </w:pPr>
      <w:r>
        <w:t xml:space="preserve">Core Marketing Objectives</w:t>
      </w:r>
    </w:p>
    <w:p>
      <w:pPr>
        <w:numPr>
          <w:ilvl w:val="0"/>
          <w:numId w:val="1002"/>
        </w:numPr>
        <w:pStyle w:val="Compact"/>
      </w:pPr>
      <w:r>
        <w:t xml:space="preserve">Secure 5+ collaborative research partnerships with Kyoto institutions within 18 months</w:t>
      </w:r>
    </w:p>
    <w:p>
      <w:pPr>
        <w:numPr>
          <w:ilvl w:val="0"/>
          <w:numId w:val="1002"/>
        </w:numPr>
        <w:pStyle w:val="Compact"/>
      </w:pPr>
      <w:r>
        <w:t xml:space="preserve">Achieve 70% recognition among target audience through local academic channels within 12 months</w:t>
      </w:r>
    </w:p>
    <w:p>
      <w:pPr>
        <w:numPr>
          <w:ilvl w:val="0"/>
          <w:numId w:val="1002"/>
        </w:numPr>
        <w:pStyle w:val="Compact"/>
      </w:pPr>
      <w:r>
        <w:t xml:space="preserve">Create a digital presence ranking in top 3 for "Kyoto academic researcher" searches (Google Japan)</w:t>
      </w:r>
    </w:p>
    <w:bookmarkEnd w:id="23"/>
    <w:bookmarkStart w:id="27" w:name="strategic-marketing-framework"/>
    <w:p>
      <w:pPr>
        <w:pStyle w:val="Heading2"/>
      </w:pPr>
      <w:r>
        <w:t xml:space="preserve">Strategic Marketing Framework</w:t>
      </w:r>
    </w:p>
    <w:p>
      <w:pPr>
        <w:pStyle w:val="FirstParagraph"/>
      </w:pPr>
      <w:r>
        <w:rPr>
          <w:bCs/>
          <w:b/>
        </w:rPr>
        <w:t xml:space="preserve">Cultural Integration Tactics:</w:t>
      </w:r>
      <w:r>
        <w:t xml:space="preserve"> </w:t>
      </w:r>
      <w:r>
        <w:t xml:space="preserve">Unlike generic marketing, our approach embeds Kyoto's research ethos through three pillars:</w:t>
      </w:r>
    </w:p>
    <w:bookmarkStart w:id="24" w:name="localized-knowledge-exchange-lke"/>
    <w:p>
      <w:pPr>
        <w:pStyle w:val="Heading3"/>
      </w:pPr>
      <w:r>
        <w:t xml:space="preserve">1. Localized Knowledge Exchange (LKE)</w:t>
      </w:r>
    </w:p>
    <w:p>
      <w:pPr>
        <w:pStyle w:val="FirstParagraph"/>
      </w:pPr>
      <w:r>
        <w:t xml:space="preserve">We will establish "Kyoto Research Circles" – monthly intimate gatherings at historical sites like Kinkaku-ji Temple or Gion district cafes. These sessions focus on translating international research into Kyoto's context, e.g., "Sustainable Urban Development in Ancient Cities." All events include bilingual (English/Japanese) academic briefings and traditional tea ceremony elements to honor local customs. This directly addresses Kyoto researchers' preference for relationship-based collaboration over cold outreach.</w:t>
      </w:r>
    </w:p>
    <w:bookmarkEnd w:id="24"/>
    <w:bookmarkStart w:id="25" w:name="institutional-synergy-program"/>
    <w:p>
      <w:pPr>
        <w:pStyle w:val="Heading3"/>
      </w:pPr>
      <w:r>
        <w:t xml:space="preserve">2. Institutional Synergy Program</w:t>
      </w:r>
    </w:p>
    <w:p>
      <w:pPr>
        <w:pStyle w:val="FirstParagraph"/>
      </w:pPr>
      <w:r>
        <w:t xml:space="preserve">Partnership with Kyoto University's Global Affairs Office will integrate the Academic Researcher into existing frameworks like the "Kyoto-Global Collaborative Research Initiative." We'll co-develop grant proposals targeting Japan's "Society 5.0" vision, emphasizing how global methodologies enhance Kyoto's unique research strengths. This strategy aligns with national priorities while positioning the researcher as a strategic asset – not just an individual contributor.</w:t>
      </w:r>
    </w:p>
    <w:bookmarkEnd w:id="25"/>
    <w:bookmarkStart w:id="26" w:name="digital-cultural-bridge"/>
    <w:p>
      <w:pPr>
        <w:pStyle w:val="Heading3"/>
      </w:pPr>
      <w:r>
        <w:t xml:space="preserve">3. Digital Cultural Bridge</w:t>
      </w:r>
    </w:p>
    <w:p>
      <w:pPr>
        <w:pStyle w:val="FirstParagraph"/>
      </w:pPr>
      <w:r>
        <w:t xml:space="preserve">A bilingual (English/Japanese) microsite will feature:</w:t>
      </w:r>
      <w:r>
        <w:t xml:space="preserve"> </w:t>
      </w:r>
      <w:r>
        <w:t xml:space="preserve">• Kyoto-specific research case studies (e.g., "Digital Preservation of Heian-era Texts")</w:t>
      </w:r>
      <w:r>
        <w:t xml:space="preserve"> </w:t>
      </w:r>
      <w:r>
        <w:t xml:space="preserve">• Video interviews with Kyoto professors discussing cross-cultural collaboration</w:t>
      </w:r>
      <w:r>
        <w:t xml:space="preserve"> </w:t>
      </w:r>
      <w:r>
        <w:t xml:space="preserve">• A "Kyoto Research Navigator" tool helping international scholars understand local academic protocols</w:t>
      </w:r>
    </w:p>
    <w:p>
      <w:pPr>
        <w:pStyle w:val="BodyText"/>
      </w:pPr>
      <w:r>
        <w:t xml:space="preserve">We'll leverage Japan's dominant social platforms: LinkedIn for professional networking, and Line for localized community engagement. Content will follow Japanese academic communication norms – formal yet respectful tone, emphasis on institutional affiliation.</w:t>
      </w:r>
    </w:p>
    <w:bookmarkEnd w:id="26"/>
    <w:bookmarkEnd w:id="27"/>
    <w:bookmarkStart w:id="28" w:name="budget-allocation-18-month-plan"/>
    <w:p>
      <w:pPr>
        <w:pStyle w:val="Heading2"/>
      </w:pPr>
      <w:r>
        <w:t xml:space="preserve">Budget Allocation (18-Month Plan)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Immersion Training (Japanese language, etiquette)</w:t>
      </w:r>
    </w:p>
    <w:p>
      <w:pPr>
        <w:pStyle w:val="BodyText"/>
      </w:pPr>
      <w:r>
        <w:t xml:space="preserve">18%</w:t>
      </w:r>
    </w:p>
    <w:p>
      <w:pPr>
        <w:pStyle w:val="BodyText"/>
      </w:pPr>
      <w:r>
        <w:t xml:space="preserve">Mandatory for credibility; prevents missteps like inappropriate gift-giving during negotiations</w:t>
      </w:r>
    </w:p>
    <w:p>
      <w:pPr>
        <w:pStyle w:val="BodyText"/>
      </w:pPr>
      <w:r>
        <w:t xml:space="preserve">Local Event Production (Kyoto Research Circles)</w:t>
      </w:r>
    </w:p>
    <w:p>
      <w:pPr>
        <w:pStyle w:val="BodyText"/>
      </w:pPr>
      <w:r>
        <w:t xml:space="preserve">32%</w:t>
      </w:r>
    </w:p>
    <w:p>
      <w:pPr>
        <w:pStyle w:val="BodyText"/>
      </w:pPr>
      <w:r>
        <w:t xml:space="preserve">Digital platforms alone fail to build trust in Kyoto's academic community</w:t>
      </w:r>
    </w:p>
    <w:p>
      <w:pPr>
        <w:pStyle w:val="BodyText"/>
      </w:pPr>
      <w:r>
        <w:t xml:space="preserve">Institutional Partnership Development</w:t>
      </w:r>
    </w:p>
    <w:p>
      <w:pPr>
        <w:pStyle w:val="BodyText"/>
      </w:pPr>
      <w:r>
        <w:t xml:space="preserve">25%</w:t>
      </w:r>
    </w:p>
    <w:p>
      <w:pPr>
        <w:pStyle w:val="BodyText"/>
      </w:pPr>
      <w:r>
        <w:t xml:space="preserve">Aligns with national "Global 30" university initiatives funded by MEXT</w:t>
      </w:r>
    </w:p>
    <w:p>
      <w:pPr>
        <w:pStyle w:val="BodyText"/>
      </w:pPr>
      <w:r>
        <w:t xml:space="preserve">Digital Platform Optimization</w:t>
      </w:r>
    </w:p>
    <w:p>
      <w:pPr>
        <w:pStyle w:val="BodyText"/>
      </w:pPr>
      <w:r>
        <w:t xml:space="preserve">15%</w:t>
      </w:r>
    </w:p>
    <w:p>
      <w:pPr>
        <w:pStyle w:val="BodyText"/>
      </w:pPr>
      <w:r>
        <w:t xml:space="preserve">SEO targeting Kyoto-specific academic keywords (e.g., "Kyoto cultural research grants")</w:t>
      </w:r>
    </w:p>
    <w:p>
      <w:pPr>
        <w:pStyle w:val="BodyText"/>
      </w:pPr>
      <w:r>
        <w:t xml:space="preserve">Measurement &amp; Adaptation</w:t>
      </w:r>
    </w:p>
    <w:p>
      <w:pPr>
        <w:pStyle w:val="BodyText"/>
      </w:pPr>
      <w:r>
        <w:t xml:space="preserve">10%</w:t>
      </w:r>
    </w:p>
    <w:p>
      <w:pPr>
        <w:pStyle w:val="BodyText"/>
      </w:pPr>
      <w:r>
        <w:t xml:space="preserve">Continuous refinement based on local feedback loops</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Kyoto cultural immersion; partnership MOU drafting with Kyoto University</w:t>
      </w:r>
    </w:p>
    <w:p>
      <w:pPr>
        <w:numPr>
          <w:ilvl w:val="0"/>
          <w:numId w:val="1003"/>
        </w:numPr>
        <w:pStyle w:val="Compact"/>
      </w:pPr>
      <w:r>
        <w:rPr>
          <w:bCs/>
          <w:b/>
        </w:rPr>
        <w:t xml:space="preserve">Months 4-6:</w:t>
      </w:r>
      <w:r>
        <w:t xml:space="preserve"> </w:t>
      </w:r>
      <w:r>
        <w:t xml:space="preserve">Launch first Research Circle at Heian Shrine; digital platform soft launch</w:t>
      </w:r>
    </w:p>
    <w:p>
      <w:pPr>
        <w:numPr>
          <w:ilvl w:val="0"/>
          <w:numId w:val="1003"/>
        </w:numPr>
        <w:pStyle w:val="Compact"/>
      </w:pPr>
      <w:r>
        <w:rPr>
          <w:bCs/>
          <w:b/>
        </w:rPr>
        <w:t xml:space="preserve">Months 7-12:</w:t>
      </w:r>
      <w:r>
        <w:t xml:space="preserve"> </w:t>
      </w:r>
      <w:r>
        <w:t xml:space="preserve">Secure 3 core institutional partnerships; publish joint Kyoto-focused paper</w:t>
      </w:r>
    </w:p>
    <w:p>
      <w:pPr>
        <w:numPr>
          <w:ilvl w:val="0"/>
          <w:numId w:val="1003"/>
        </w:numPr>
        <w:pStyle w:val="Compact"/>
      </w:pPr>
      <w:r>
        <w:rPr>
          <w:bCs/>
          <w:b/>
        </w:rPr>
        <w:t xml:space="preserve">Months 13-18:</w:t>
      </w:r>
      <w:r>
        <w:t xml:space="preserve"> </w:t>
      </w:r>
      <w:r>
        <w:t xml:space="preserve">Scale to 5+ events/quarter; achieve top search ranking for "Academic Researcher Japan Kyoto"</w:t>
      </w:r>
    </w:p>
    <w:bookmarkEnd w:id="29"/>
    <w:bookmarkStart w:id="30" w:name="success-measurement-framework"/>
    <w:p>
      <w:pPr>
        <w:pStyle w:val="Heading2"/>
      </w:pPr>
      <w:r>
        <w:t xml:space="preserve">Success Measurement Framework</w:t>
      </w:r>
    </w:p>
    <w:p>
      <w:pPr>
        <w:pStyle w:val="FirstParagraph"/>
      </w:pPr>
      <w:r>
        <w:t xml:space="preserve">We move beyond vanity metrics. Success will be measured by:</w:t>
      </w:r>
    </w:p>
    <w:p>
      <w:pPr>
        <w:numPr>
          <w:ilvl w:val="0"/>
          <w:numId w:val="1004"/>
        </w:numPr>
        <w:pStyle w:val="Compact"/>
      </w:pPr>
      <w:r>
        <w:rPr>
          <w:bCs/>
          <w:b/>
        </w:rPr>
        <w:t xml:space="preserve">Institutional Engagement Rate:</w:t>
      </w:r>
      <w:r>
        <w:t xml:space="preserve"> </w:t>
      </w:r>
      <w:r>
        <w:t xml:space="preserve">% of target institutions initiating formal collaboration requests (Target: 40% within 18 months)</w:t>
      </w:r>
    </w:p>
    <w:p>
      <w:pPr>
        <w:numPr>
          <w:ilvl w:val="0"/>
          <w:numId w:val="1004"/>
        </w:numPr>
        <w:pStyle w:val="Compact"/>
      </w:pPr>
      <w:r>
        <w:rPr>
          <w:bCs/>
          <w:b/>
        </w:rPr>
        <w:t xml:space="preserve">Cultural Appropriateness Index:</w:t>
      </w:r>
      <w:r>
        <w:t xml:space="preserve"> </w:t>
      </w:r>
      <w:r>
        <w:t xml:space="preserve">Survey scores from Kyoto colleagues on "Researcher demonstrated understanding of local academic norms" (Target: 4.5/5)</w:t>
      </w:r>
    </w:p>
    <w:p>
      <w:pPr>
        <w:numPr>
          <w:ilvl w:val="0"/>
          <w:numId w:val="1004"/>
        </w:numPr>
        <w:pStyle w:val="Compact"/>
      </w:pPr>
      <w:r>
        <w:rPr>
          <w:bCs/>
          <w:b/>
        </w:rPr>
        <w:t xml:space="preserve">Knowledge Transfer Impact:</w:t>
      </w:r>
      <w:r>
        <w:t xml:space="preserve"> </w:t>
      </w:r>
      <w:r>
        <w:t xml:space="preserve">Number of Kyoto-based research outputs co-authored with the Academic Researcher (Target: 3+ peer-reviewed papers by Month 18)</w:t>
      </w:r>
    </w:p>
    <w:bookmarkEnd w:id="30"/>
    <w:bookmarkStart w:id="31" w:name="conclusion"/>
    <w:p>
      <w:pPr>
        <w:pStyle w:val="Heading2"/>
      </w:pPr>
      <w:r>
        <w:t xml:space="preserve">Conclusion</w:t>
      </w:r>
    </w:p>
    <w:p>
      <w:pPr>
        <w:pStyle w:val="FirstParagraph"/>
      </w:pPr>
      <w:r>
        <w:t xml:space="preserve">This Marketing Plan transcends conventional professional branding to create a culturally embedded academic identity. By positioning the Academic Researcher not as an outsider seeking opportunities, but as a value-adding partner deeply invested in Kyoto's scholarly ecosystem, we transform market positioning into meaningful institutional contribution. The focus on Japan Kyoto's unique research context – where ancient traditions inform modern innovation – creates an irreplaceable niche. This is not merely about marketing; it's about becoming part of Kyoto's academic legacy while advancing global scholarship through culturally intelligent engagement.</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Japan Kyoto</dc:title>
  <dc:creator/>
  <dc:language>en</dc:language>
  <cp:keywords/>
  <dcterms:created xsi:type="dcterms:W3CDTF">2026-07-24T11:44:51Z</dcterms:created>
  <dcterms:modified xsi:type="dcterms:W3CDTF">2026-07-24T11:44:51Z</dcterms:modified>
</cp:coreProperties>
</file>

<file path=docProps/custom.xml><?xml version="1.0" encoding="utf-8"?>
<Properties xmlns="http://schemas.openxmlformats.org/officeDocument/2006/custom-properties" xmlns:vt="http://schemas.openxmlformats.org/officeDocument/2006/docPropsVTypes"/>
</file>