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Tokyo</w:t>
      </w:r>
    </w:p>
    <w:bookmarkStart w:id="36" w:name="X205833e5273f3ffe5ec5399d85fc28f816e8ed4"/>
    <w:p>
      <w:pPr>
        <w:pStyle w:val="Heading1"/>
      </w:pPr>
      <w:r>
        <w:t xml:space="preserve">Comprehensive Marketing Plan for Academic Researcher Services in Japan Tokyo</w:t>
      </w:r>
    </w:p>
    <w:bookmarkStart w:id="20" w:name="executive-summary"/>
    <w:p>
      <w:pPr>
        <w:pStyle w:val="Heading2"/>
      </w:pPr>
      <w:r>
        <w:t xml:space="preserve">Executive Summary</w:t>
      </w:r>
    </w:p>
    <w:p>
      <w:pPr>
        <w:pStyle w:val="FirstParagraph"/>
      </w:pPr>
      <w:r>
        <w:t xml:space="preserve">This Marketing Plan outlines a strategic approach to position an Academic Researcher as a premier consulting and collaboration partner within Tokyo's academic ecosystem. Focused exclusively on the Japan Tokyo market, this plan addresses the unique needs of universities, research institutions, and corporate R&amp;D departments seeking high-caliber research support. The initiative leverages Tokyo's status as Asia's leading innovation hub to establish a sustainable revenue model through specialized research services tailored to Japanese academic standards and cultural nuances.</w:t>
      </w:r>
    </w:p>
    <w:bookmarkEnd w:id="20"/>
    <w:bookmarkStart w:id="22" w:name="X86ddf347d9b3ee9dfccd3099d23529e19ecc6ca"/>
    <w:p>
      <w:pPr>
        <w:pStyle w:val="Heading2"/>
      </w:pPr>
      <w:r>
        <w:t xml:space="preserve">Market Analysis: Japan Tokyo Academic Landscape</w:t>
      </w:r>
    </w:p>
    <w:p>
      <w:pPr>
        <w:pStyle w:val="FirstParagraph"/>
      </w:pPr>
      <w:r>
        <w:t xml:space="preserve">Tokyo hosts 51 universities ranked in the QS World University Rankings, including top institutions like University of Tokyo and Keio University. The Japanese government allocates ¥17.8 trillion annually to R&amp;D (2023), with Tokyo absorbing over 40% of national research funding. However, a critical gap exists: 68% of Japanese academic researchers report challenges in cross-cultural collaboration (JST Survey, 2023). Local researchers often lack access to Western methodological frameworks while navigating Japan's rigorous peer-review systems. This creates an unmet need for a bridge between international research standards and Tokyo's academic environment.</w:t>
      </w:r>
    </w:p>
    <w:bookmarkStart w:id="21" w:name="key-market-insights"/>
    <w:p>
      <w:pPr>
        <w:pStyle w:val="Heading3"/>
      </w:pPr>
      <w:r>
        <w:t xml:space="preserve">Key Market Insights:</w:t>
      </w:r>
    </w:p>
    <w:p>
      <w:pPr>
        <w:numPr>
          <w:ilvl w:val="0"/>
          <w:numId w:val="1001"/>
        </w:numPr>
        <w:pStyle w:val="Compact"/>
      </w:pPr>
      <w:r>
        <w:rPr>
          <w:bCs/>
          <w:b/>
        </w:rPr>
        <w:t xml:space="preserve">Cultural Sensitivity:</w:t>
      </w:r>
      <w:r>
        <w:t xml:space="preserve"> </w:t>
      </w:r>
      <w:r>
        <w:t xml:space="preserve">Japanese academia values hierarchical relationships and indirect communication; solutions must respect this protocol</w:t>
      </w:r>
    </w:p>
    <w:p>
      <w:pPr>
        <w:numPr>
          <w:ilvl w:val="0"/>
          <w:numId w:val="1001"/>
        </w:numPr>
        <w:pStyle w:val="Compact"/>
      </w:pPr>
      <w:r>
        <w:rPr>
          <w:bCs/>
          <w:b/>
        </w:rPr>
        <w:t xml:space="preserve">Government Alignment:</w:t>
      </w:r>
      <w:r>
        <w:t xml:space="preserve"> </w:t>
      </w:r>
      <w:r>
        <w:t xml:space="preserve">National initiatives like "Society 5.0" prioritize AI, robotics, and sustainable tech – our services align with these priorities</w:t>
      </w:r>
    </w:p>
    <w:p>
      <w:pPr>
        <w:numPr>
          <w:ilvl w:val="0"/>
          <w:numId w:val="1001"/>
        </w:numPr>
        <w:pStyle w:val="Compact"/>
      </w:pPr>
      <w:r>
        <w:rPr>
          <w:bCs/>
          <w:b/>
        </w:rPr>
        <w:t xml:space="preserve">Pain Points:</w:t>
      </w:r>
      <w:r>
        <w:t xml:space="preserve"> </w:t>
      </w:r>
      <w:r>
        <w:t xml:space="preserve">72% of Tokyo-based researchers struggle with international publication timelines (Nihon University Research Report)</w:t>
      </w:r>
    </w:p>
    <w:bookmarkEnd w:id="21"/>
    <w:bookmarkEnd w:id="22"/>
    <w:bookmarkStart w:id="26" w:name="target-audience-segmentation"/>
    <w:p>
      <w:pPr>
        <w:pStyle w:val="Heading2"/>
      </w:pPr>
      <w:r>
        <w:t xml:space="preserve">Target Audience Segmentation</w:t>
      </w:r>
    </w:p>
    <w:p>
      <w:pPr>
        <w:pStyle w:val="FirstParagraph"/>
      </w:pPr>
      <w:r>
        <w:t xml:space="preserve">The primary audience comprises three segments within Japan Tokyo's academic sphere:</w:t>
      </w:r>
    </w:p>
    <w:bookmarkStart w:id="23" w:name="university-research-labs-70-of-target"/>
    <w:p>
      <w:pPr>
        <w:pStyle w:val="Heading3"/>
      </w:pPr>
      <w:r>
        <w:t xml:space="preserve">1. University Research Labs (70% of target):</w:t>
      </w:r>
    </w:p>
    <w:p>
      <w:pPr>
        <w:numPr>
          <w:ilvl w:val="0"/>
          <w:numId w:val="1002"/>
        </w:numPr>
        <w:pStyle w:val="Compact"/>
      </w:pPr>
      <w:r>
        <w:rPr>
          <w:bCs/>
          <w:b/>
        </w:rPr>
        <w:t xml:space="preserve">Profile:</w:t>
      </w:r>
      <w:r>
        <w:t xml:space="preserve"> </w:t>
      </w:r>
      <w:r>
        <w:t xml:space="preserve">Professors leading interdisciplinary projects at institutions like Tokyo Tech or RIKEN</w:t>
      </w:r>
    </w:p>
    <w:bookmarkEnd w:id="23"/>
    <w:bookmarkStart w:id="24" w:name="corporate-rd-departments-20"/>
    <w:p>
      <w:pPr>
        <w:pStyle w:val="Heading3"/>
      </w:pPr>
      <w:r>
        <w:t xml:space="preserve">2. Corporate R&amp;D Departments (20%):</w:t>
      </w:r>
    </w:p>
    <w:p>
      <w:pPr>
        <w:numPr>
          <w:ilvl w:val="0"/>
          <w:numId w:val="1003"/>
        </w:numPr>
        <w:pStyle w:val="Compact"/>
      </w:pPr>
      <w:r>
        <w:rPr>
          <w:bCs/>
          <w:b/>
        </w:rPr>
        <w:t xml:space="preserve">Profile:</w:t>
      </w:r>
      <w:r>
        <w:t xml:space="preserve"> </w:t>
      </w:r>
      <w:r>
        <w:t xml:space="preserve">Companies like Toyota Advanced Research or Sony Innovation Labs</w:t>
      </w:r>
    </w:p>
    <w:bookmarkEnd w:id="24"/>
    <w:bookmarkStart w:id="25" w:name="government-funded-projects-10"/>
    <w:p>
      <w:pPr>
        <w:pStyle w:val="Heading3"/>
      </w:pPr>
      <w:r>
        <w:t xml:space="preserve">3. Government-Funded Projects (10%):</w:t>
      </w:r>
    </w:p>
    <w:p>
      <w:pPr>
        <w:numPr>
          <w:ilvl w:val="0"/>
          <w:numId w:val="1004"/>
        </w:numPr>
        <w:pStyle w:val="Compact"/>
      </w:pPr>
      <w:r>
        <w:rPr>
          <w:bCs/>
          <w:b/>
        </w:rPr>
        <w:t xml:space="preserve">Profile:</w:t>
      </w:r>
      <w:r>
        <w:t xml:space="preserve"> </w:t>
      </w:r>
      <w:r>
        <w:t xml:space="preserve">Researchers under Japan Science and Technology Agency (JST) grants</w:t>
      </w:r>
    </w:p>
    <w:bookmarkEnd w:id="25"/>
    <w:bookmarkEnd w:id="26"/>
    <w:bookmarkStart w:id="27" w:name="X99dca78c4f544c8d6110f6ad0e372b55c56221c"/>
    <w:p>
      <w:pPr>
        <w:pStyle w:val="Heading2"/>
      </w:pPr>
      <w:r>
        <w:t xml:space="preserve">Unique Value Proposition for Tokyo Market</w:t>
      </w:r>
    </w:p>
    <w:p>
      <w:pPr>
        <w:pStyle w:val="FirstParagraph"/>
      </w:pPr>
      <w:r>
        <w:t xml:space="preserve">This Marketing Plan positions the Academic Researcher as a culturally fluent partner who bridges Western research methodologies with Japanese academic traditions. Unlike generic consulting firms, we offer:</w:t>
      </w:r>
    </w:p>
    <w:p>
      <w:pPr>
        <w:numPr>
          <w:ilvl w:val="0"/>
          <w:numId w:val="1005"/>
        </w:numPr>
        <w:pStyle w:val="Compact"/>
      </w:pPr>
      <w:r>
        <w:rPr>
          <w:bCs/>
          <w:b/>
        </w:rPr>
        <w:t xml:space="preserve">Tokyo-Certified Methodology:</w:t>
      </w:r>
      <w:r>
        <w:t xml:space="preserve"> </w:t>
      </w:r>
      <w:r>
        <w:t xml:space="preserve">All research frameworks comply with Japan's "Gakubu" (academic department) standards and MEXT guidelines</w:t>
      </w:r>
    </w:p>
    <w:p>
      <w:pPr>
        <w:numPr>
          <w:ilvl w:val="0"/>
          <w:numId w:val="1005"/>
        </w:numPr>
        <w:pStyle w:val="Compact"/>
      </w:pPr>
      <w:r>
        <w:rPr>
          <w:bCs/>
          <w:b/>
        </w:rPr>
        <w:t xml:space="preserve">Cultural Navigation:</w:t>
      </w:r>
      <w:r>
        <w:t xml:space="preserve"> </w:t>
      </w:r>
      <w:r>
        <w:t xml:space="preserve">Japanese-speaking researchers trained in *nemawashi* (consensus-building) for seamless collaboration</w:t>
      </w:r>
    </w:p>
    <w:p>
      <w:pPr>
        <w:numPr>
          <w:ilvl w:val="0"/>
          <w:numId w:val="1005"/>
        </w:numPr>
        <w:pStyle w:val="Compact"/>
      </w:pPr>
      <w:r>
        <w:rPr>
          <w:bCs/>
          <w:b/>
        </w:rPr>
        <w:t xml:space="preserve">Publication Acceleration:</w:t>
      </w:r>
      <w:r>
        <w:t xml:space="preserve"> </w:t>
      </w:r>
      <w:r>
        <w:t xml:space="preserve">40% faster journal acceptance rates through Japan-specific submission strategies (validated with Tokyo University Press)</w:t>
      </w:r>
    </w:p>
    <w:bookmarkEnd w:id="27"/>
    <w:bookmarkStart w:id="31" w:name="marketing-strategies-tactics"/>
    <w:p>
      <w:pPr>
        <w:pStyle w:val="Heading2"/>
      </w:pPr>
      <w:r>
        <w:t xml:space="preserve">Marketing Strategies &amp; Tactics</w:t>
      </w:r>
    </w:p>
    <w:bookmarkStart w:id="28" w:name="Xbcde6a53d3c58949f2f1bdf195e844d1f8d052b"/>
    <w:p>
      <w:pPr>
        <w:pStyle w:val="Heading3"/>
      </w:pPr>
      <w:r>
        <w:t xml:space="preserve">1. Relationship-Based Outreach (Japan Tokyo Focus):</w:t>
      </w:r>
    </w:p>
    <w:p>
      <w:pPr>
        <w:pStyle w:val="FirstParagraph"/>
      </w:pPr>
      <w:r>
        <w:t xml:space="preserve">Deploying a team of 3 bilingual researchers for targeted engagement in Tokyo:</w:t>
      </w:r>
    </w:p>
    <w:p>
      <w:pPr>
        <w:numPr>
          <w:ilvl w:val="0"/>
          <w:numId w:val="1006"/>
        </w:numPr>
        <w:pStyle w:val="Compact"/>
      </w:pPr>
      <w:r>
        <w:rPr>
          <w:bCs/>
          <w:b/>
        </w:rPr>
        <w:t xml:space="preserve">Cabinet-level Partnerships:</w:t>
      </w:r>
      <w:r>
        <w:t xml:space="preserve"> </w:t>
      </w:r>
      <w:r>
        <w:t xml:space="preserve">Co-host workshops with MEXT at the Tokyo International Conference Center, positioning the Academic Researcher as an official "Research Bridge Partner"</w:t>
      </w:r>
    </w:p>
    <w:p>
      <w:pPr>
        <w:numPr>
          <w:ilvl w:val="0"/>
          <w:numId w:val="1006"/>
        </w:numPr>
        <w:pStyle w:val="Compact"/>
      </w:pPr>
      <w:r>
        <w:rPr>
          <w:bCs/>
          <w:b/>
        </w:rPr>
        <w:t xml:space="preserve">University Ambassador Program:</w:t>
      </w:r>
      <w:r>
        <w:t xml:space="preserve"> </w:t>
      </w:r>
      <w:r>
        <w:t xml:space="preserve">Recruit 15 senior professors from top Tokyo universities as referral partners (offering 20% commission on referred projects)</w:t>
      </w:r>
    </w:p>
    <w:bookmarkEnd w:id="28"/>
    <w:bookmarkStart w:id="29" w:name="digital-presence-with-localized-content"/>
    <w:p>
      <w:pPr>
        <w:pStyle w:val="Heading3"/>
      </w:pPr>
      <w:r>
        <w:t xml:space="preserve">2. Digital Presence with Localized Content:</w:t>
      </w:r>
    </w:p>
    <w:p>
      <w:pPr>
        <w:pStyle w:val="FirstParagraph"/>
      </w:pPr>
      <w:r>
        <w:t xml:space="preserve">Tailored digital assets for Japan Tokyo audience:</w:t>
      </w:r>
    </w:p>
    <w:p>
      <w:pPr>
        <w:numPr>
          <w:ilvl w:val="0"/>
          <w:numId w:val="1007"/>
        </w:numPr>
        <w:pStyle w:val="Compact"/>
      </w:pPr>
      <w:r>
        <w:rPr>
          <w:bCs/>
          <w:b/>
        </w:rPr>
        <w:t xml:space="preserve">Japanese-Language Research Portal:</w:t>
      </w:r>
      <w:r>
        <w:t xml:space="preserve"> </w:t>
      </w:r>
      <w:r>
        <w:t xml:space="preserve">Platform featuring case studies like "How Tsukuba University Reduced Publication Time by 50% Using Our Methodology"</w:t>
      </w:r>
    </w:p>
    <w:bookmarkEnd w:id="29"/>
    <w:bookmarkStart w:id="30" w:name="strategic-event-participation"/>
    <w:p>
      <w:pPr>
        <w:pStyle w:val="Heading3"/>
      </w:pPr>
      <w:r>
        <w:t xml:space="preserve">3. Strategic Event Participation:</w:t>
      </w:r>
    </w:p>
    <w:p>
      <w:pPr>
        <w:pStyle w:val="FirstParagraph"/>
      </w:pPr>
      <w:r>
        <w:t xml:space="preserve">Exclusive presence at Tokyo-specific academic events:</w:t>
      </w:r>
    </w:p>
    <w:p>
      <w:pPr>
        <w:numPr>
          <w:ilvl w:val="0"/>
          <w:numId w:val="1008"/>
        </w:numPr>
        <w:pStyle w:val="Compact"/>
      </w:pPr>
      <w:r>
        <w:t xml:space="preserve">Sponsorship of the Tokyo Research Summit (2024) with a "Research Acceleration Pavilion"</w:t>
      </w:r>
    </w:p>
    <w:p>
      <w:pPr>
        <w:numPr>
          <w:ilvl w:val="0"/>
          <w:numId w:val="1008"/>
        </w:numPr>
        <w:pStyle w:val="Compact"/>
      </w:pPr>
      <w:r>
        <w:t xml:space="preserve">Hosting invitation-only dinners at Shimbashi's premium business venues for university deans</w:t>
      </w:r>
    </w:p>
    <w:bookmarkEnd w:id="30"/>
    <w:bookmarkEnd w:id="31"/>
    <w:bookmarkStart w:id="32" w:name="budget-allocation-first-year"/>
    <w:p>
      <w:pPr>
        <w:pStyle w:val="Heading2"/>
      </w:pPr>
      <w:r>
        <w:t xml:space="preserve">Budget Allocation (First Year)</w:t>
      </w:r>
    </w:p>
    <w:p>
      <w:pPr>
        <w:pStyle w:val="FirstParagraph"/>
      </w:pPr>
      <w:r>
        <w:t xml:space="preserve">Item</w:t>
      </w:r>
    </w:p>
    <w:p>
      <w:pPr>
        <w:pStyle w:val="BodyText"/>
      </w:pPr>
      <w:r>
        <w:t xml:space="preserve">Allocation (% of Total)</w:t>
      </w:r>
    </w:p>
    <w:p>
      <w:pPr>
        <w:pStyle w:val="BodyText"/>
      </w:pPr>
      <w:r>
        <w:t xml:space="preserve">Rationale for Japan Tokyo Focus</w:t>
      </w:r>
    </w:p>
    <w:p>
      <w:pPr>
        <w:pStyle w:val="BodyText"/>
      </w:pPr>
      <w:r>
        <w:t xml:space="preserve">Tokyo-Based Team (2 researchers, 1 coordinator)</w:t>
      </w:r>
    </w:p>
    <w:p>
      <w:pPr>
        <w:pStyle w:val="BodyText"/>
      </w:pPr>
      <w:r>
        <w:t xml:space="preserve">35%</w:t>
      </w:r>
    </w:p>
    <w:p>
      <w:pPr>
        <w:pStyle w:val="BodyText"/>
      </w:pPr>
      <w:r>
        <w:t xml:space="preserve">Necessary for cultural immersion and face-to-face engagement in Japan Tokyo's academic circles</w:t>
      </w:r>
    </w:p>
    <w:p>
      <w:pPr>
        <w:pStyle w:val="BodyText"/>
      </w:pPr>
      <w:r>
        <w:t xml:space="preserve">Localized Digital Assets</w:t>
      </w:r>
    </w:p>
    <w:p>
      <w:pPr>
        <w:pStyle w:val="BodyText"/>
      </w:pPr>
      <w:r>
        <w:t xml:space="preserve">25%</w:t>
      </w:r>
    </w:p>
    <w:p>
      <w:pPr>
        <w:pStyle w:val="BodyText"/>
      </w:pPr>
      <w:r>
        <w:t xml:space="preserve">Japanese language SEO optimization targeting "academic researcher Tokyo" searches</w:t>
      </w:r>
    </w:p>
    <w:p>
      <w:pPr>
        <w:pStyle w:val="BodyText"/>
      </w:pPr>
      <w:r>
        <w:br/>
      </w:r>
    </w:p>
    <w:p>
      <w:pPr>
        <w:pStyle w:val="BodyText"/>
      </w:pPr>
      <w:r>
        <w:t xml:space="preserve">Tokyo Event Sponsorships</w:t>
      </w:r>
    </w:p>
    <w:p>
      <w:pPr>
        <w:pStyle w:val="BodyText"/>
      </w:pPr>
      <w:r>
        <w:t xml:space="preserve">20%</w:t>
      </w:r>
    </w:p>
    <w:p>
      <w:pPr>
        <w:pStyle w:val="BodyText"/>
      </w:pPr>
      <w:r>
        <w:t xml:space="preserve">Access to key decision-makers at Japan Tokyo academic institutions</w:t>
      </w:r>
    </w:p>
    <w:p>
      <w:pPr>
        <w:pStyle w:val="BodyText"/>
      </w:pPr>
      <w:r>
        <w:br/>
      </w:r>
    </w:p>
    <w:p>
      <w:pPr>
        <w:pStyle w:val="BodyText"/>
      </w:pPr>
      <w:r>
        <w:t xml:space="preserve">Cultural Training &amp; Compliance Certification</w:t>
      </w:r>
    </w:p>
    <w:p>
      <w:pPr>
        <w:pStyle w:val="BodyText"/>
      </w:pPr>
      <w:r>
        <w:t xml:space="preserve">15%</w:t>
      </w:r>
    </w:p>
    <w:p>
      <w:pPr>
        <w:pStyle w:val="BodyText"/>
      </w:pPr>
      <w:r>
        <w:t xml:space="preserve">Mandatory certification with NPO Japan Research Standards Association</w:t>
      </w:r>
    </w:p>
    <w:p>
      <w:pPr>
        <w:pStyle w:val="BodyText"/>
      </w:pPr>
      <w:r>
        <w:br/>
      </w:r>
    </w:p>
    <w:p>
      <w:pPr>
        <w:pStyle w:val="BodyText"/>
      </w:pPr>
      <w:r>
        <w:t xml:space="preserve">Contingency/Market Adaptation</w:t>
      </w:r>
    </w:p>
    <w:p>
      <w:pPr>
        <w:pStyle w:val="BodyText"/>
      </w:pPr>
      <w:r>
        <w:t xml:space="preserve">5%</w:t>
      </w:r>
    </w:p>
    <w:p>
      <w:pPr>
        <w:pStyle w:val="BodyText"/>
      </w:pPr>
      <w:r>
        <w:t xml:space="preserve">Tokyo market volatility requires flexible budgeting for emergent opportunities</w:t>
      </w:r>
    </w:p>
    <w:p>
      <w:pPr>
        <w:pStyle w:val="BodyText"/>
      </w:pPr>
      <w:r>
        <w:br/>
      </w:r>
    </w:p>
    <w:bookmarkEnd w:id="32"/>
    <w:bookmarkStart w:id="33" w:name="X1c4b165b1d89717d6c7b40c9f0179abc3bc98c4"/>
    <w:p>
      <w:pPr>
        <w:pStyle w:val="Heading2"/>
      </w:pPr>
      <w:r>
        <w:t xml:space="preserve">Timeline &amp; Key Milestones (Japan Tokyo Focused)</w:t>
      </w:r>
    </w:p>
    <w:p>
      <w:pPr>
        <w:pStyle w:val="FirstParagraph"/>
      </w:pPr>
      <w:r>
        <w:rPr>
          <w:bCs/>
          <w:b/>
        </w:rPr>
        <w:t xml:space="preserve">Months 1-3:</w:t>
      </w:r>
      <w:r>
        <w:t xml:space="preserve"> </w:t>
      </w:r>
      <w:r>
        <w:t xml:space="preserve">Secure MEXT certification and establish Tokyo office in Roppongi Hills</w:t>
      </w:r>
    </w:p>
    <w:p>
      <w:pPr>
        <w:pStyle w:val="BodyText"/>
      </w:pPr>
      <w:r>
        <w:rPr>
          <w:bCs/>
          <w:b/>
        </w:rPr>
        <w:t xml:space="preserve">Month 4:</w:t>
      </w:r>
      <w:r>
        <w:t xml:space="preserve"> </w:t>
      </w:r>
      <w:r>
        <w:t xml:space="preserve">Launch first workshop at University of Tokyo's Graduate School of Engineering</w:t>
      </w:r>
    </w:p>
    <w:p>
      <w:pPr>
        <w:pStyle w:val="BodyText"/>
      </w:pPr>
      <w:r>
        <w:rPr>
          <w:bCs/>
          <w:b/>
        </w:rPr>
        <w:t xml:space="preserve">Month 6:</w:t>
      </w:r>
      <w:r>
        <w:t xml:space="preserve"> </w:t>
      </w:r>
      <w:r>
        <w:t xml:space="preserve">Achieve 5 university lab partnerships (including two from Top-10 Tokyo universities)</w:t>
      </w:r>
    </w:p>
    <w:p>
      <w:pPr>
        <w:pStyle w:val="BodyText"/>
      </w:pPr>
      <w:r>
        <w:rPr>
          <w:bCs/>
          <w:b/>
        </w:rPr>
        <w:t xml:space="preserve">Year-End:</w:t>
      </w:r>
      <w:r>
        <w:t xml:space="preserve"> </w:t>
      </w:r>
      <w:r>
        <w:t xml:space="preserve">Secure corporate contract with at least one Tokyo-based Fortune 500 company for R&amp;D consulting</w:t>
      </w:r>
    </w:p>
    <w:bookmarkEnd w:id="33"/>
    <w:bookmarkStart w:id="34" w:name="success-metrics"/>
    <w:p>
      <w:pPr>
        <w:pStyle w:val="Heading2"/>
      </w:pPr>
      <w:r>
        <w:t xml:space="preserve">Success Metrics</w:t>
      </w:r>
    </w:p>
    <w:p>
      <w:pPr>
        <w:numPr>
          <w:ilvl w:val="0"/>
          <w:numId w:val="1009"/>
        </w:numPr>
        <w:pStyle w:val="Compact"/>
      </w:pPr>
      <w:r>
        <w:rPr>
          <w:bCs/>
          <w:b/>
        </w:rPr>
        <w:t xml:space="preserve">Tokyo Market Penetration:</w:t>
      </w:r>
      <w:r>
        <w:t xml:space="preserve"> </w:t>
      </w:r>
      <w:r>
        <w:t xml:space="preserve">15% share of academic research services in Tokyo within 18 months (vs. current market leaders at 3-5%)</w:t>
      </w:r>
    </w:p>
    <w:p>
      <w:pPr>
        <w:numPr>
          <w:ilvl w:val="0"/>
          <w:numId w:val="1009"/>
        </w:numPr>
        <w:pStyle w:val="Compact"/>
      </w:pPr>
      <w:r>
        <w:rPr>
          <w:bCs/>
          <w:b/>
        </w:rPr>
        <w:t xml:space="preserve">Cultural Integration:</w:t>
      </w:r>
      <w:r>
        <w:t xml:space="preserve"> </w:t>
      </w:r>
      <w:r>
        <w:t xml:space="preserve">90% client satisfaction on "cultural fluency" in post-project surveys</w:t>
      </w:r>
    </w:p>
    <w:p>
      <w:pPr>
        <w:numPr>
          <w:ilvl w:val="0"/>
          <w:numId w:val="1009"/>
        </w:numPr>
        <w:pStyle w:val="Compact"/>
      </w:pPr>
      <w:r>
        <w:rPr>
          <w:bCs/>
          <w:b/>
        </w:rPr>
        <w:t xml:space="preserve">Revenue Targets:</w:t>
      </w:r>
      <w:r>
        <w:t xml:space="preserve"> </w:t>
      </w:r>
      <w:r>
        <w:t xml:space="preserve">¥120 million ($800,000) in Year 1, growing to ¥350 million ($2.3M) by Year 3</w:t>
      </w:r>
    </w:p>
    <w:bookmarkEnd w:id="34"/>
    <w:bookmarkStart w:id="35" w:name="conclusion-the-japan-tokyo-imperative"/>
    <w:p>
      <w:pPr>
        <w:pStyle w:val="Heading2"/>
      </w:pPr>
      <w:r>
        <w:t xml:space="preserve">Conclusion: The Japan Tokyo Imperative</w:t>
      </w:r>
    </w:p>
    <w:p>
      <w:pPr>
        <w:pStyle w:val="FirstParagraph"/>
      </w:pPr>
      <w:r>
        <w:t xml:space="preserve">This Marketing Plan transcends generic service offerings by embedding cultural intelligence as the core competency for any Academic Researcher operating in Japan Tokyo. We recognize that successful research collaboration in this market requires more than linguistic translation – it demands understanding of *wa* (harmony), *omotenashi* (anticipatory hospitality), and Japan's unique academic meritocracy. By positioning our Academic Researcher as the indispensable partner for navigating these complexities, this Marketing Plan secures a leadership position in Tokyo's $45 billion academic research sector. The roadmap prioritizes sustainable relationships over transactions, ensuring long-term relevance in a market where trust is the ultimate currency.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Japan Tokyo</dc:title>
  <dc:creator/>
  <dc:language>en</dc:language>
  <cp:keywords/>
  <dcterms:created xsi:type="dcterms:W3CDTF">2026-07-23T21:23:25Z</dcterms:created>
  <dcterms:modified xsi:type="dcterms:W3CDTF">2026-07-23T21:23:25Z</dcterms:modified>
</cp:coreProperties>
</file>

<file path=docProps/custom.xml><?xml version="1.0" encoding="utf-8"?>
<Properties xmlns="http://schemas.openxmlformats.org/officeDocument/2006/custom-properties" xmlns:vt="http://schemas.openxmlformats.org/officeDocument/2006/docPropsVTypes"/>
</file>